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3891B" w14:textId="71DAF618" w:rsidR="00DF018A" w:rsidRPr="001B14C1" w:rsidRDefault="00DF018A" w:rsidP="00DF018A">
      <w:pPr>
        <w:pStyle w:val="a"/>
        <w:rPr>
          <w:rFonts w:eastAsia="SimSun"/>
          <w:lang w:eastAsia="zh-CN"/>
        </w:rPr>
      </w:pPr>
      <w:bookmarkStart w:id="0" w:name="OLE_LINK1"/>
      <w:bookmarkStart w:id="1" w:name="OLE_LINK2"/>
      <w:r w:rsidRPr="00E23C3E">
        <w:t>3GPP TSG-RAN WG4 Meeting #</w:t>
      </w:r>
      <w:r>
        <w:rPr>
          <w:rFonts w:eastAsia="SimSun"/>
          <w:lang w:eastAsia="zh-CN"/>
        </w:rPr>
        <w:t>9</w:t>
      </w:r>
      <w:r w:rsidR="00A30758">
        <w:rPr>
          <w:rFonts w:eastAsia="SimSun"/>
          <w:lang w:eastAsia="zh-CN"/>
        </w:rPr>
        <w:t>4</w:t>
      </w:r>
      <w:r w:rsidR="00D371FB">
        <w:rPr>
          <w:rFonts w:eastAsia="SimSun"/>
          <w:lang w:eastAsia="zh-CN"/>
        </w:rPr>
        <w:t>bis-e</w:t>
      </w:r>
      <w:r>
        <w:tab/>
      </w:r>
      <w:r>
        <w:tab/>
      </w:r>
      <w:r>
        <w:tab/>
      </w:r>
      <w:r>
        <w:tab/>
      </w:r>
      <w:r>
        <w:tab/>
      </w:r>
      <w:r>
        <w:tab/>
      </w:r>
      <w:r>
        <w:tab/>
      </w:r>
      <w:r>
        <w:tab/>
      </w:r>
      <w:r>
        <w:tab/>
      </w:r>
      <w:r>
        <w:tab/>
      </w:r>
      <w:r>
        <w:rPr>
          <w:rFonts w:eastAsia="SimSun" w:hint="eastAsia"/>
          <w:lang w:eastAsia="zh-CN"/>
        </w:rPr>
        <w:t xml:space="preserve">  </w:t>
      </w:r>
      <w:r>
        <w:tab/>
        <w:t xml:space="preserve">     </w:t>
      </w:r>
      <w:r w:rsidR="00371259">
        <w:tab/>
      </w:r>
      <w:r w:rsidR="00371259">
        <w:tab/>
      </w:r>
      <w:r>
        <w:t xml:space="preserve">   </w:t>
      </w:r>
      <w:r>
        <w:rPr>
          <w:rFonts w:eastAsia="SimSun" w:hint="eastAsia"/>
          <w:lang w:eastAsia="zh-CN"/>
        </w:rPr>
        <w:t xml:space="preserve"> </w:t>
      </w:r>
      <w:r w:rsidRPr="00E01EBB">
        <w:t>R</w:t>
      </w:r>
      <w:r w:rsidRPr="002725A3">
        <w:t>4-</w:t>
      </w:r>
      <w:r w:rsidR="00A30758">
        <w:t>2</w:t>
      </w:r>
      <w:r w:rsidR="00A30758" w:rsidRPr="00815BA7">
        <w:t>00</w:t>
      </w:r>
      <w:r w:rsidR="00815BA7" w:rsidRPr="00815BA7">
        <w:t>37</w:t>
      </w:r>
      <w:r w:rsidR="00815BA7">
        <w:t>75</w:t>
      </w:r>
    </w:p>
    <w:p w14:paraId="35BF833C" w14:textId="472EC821" w:rsidR="00DF018A" w:rsidRPr="008E18F2" w:rsidRDefault="00D371FB" w:rsidP="00DF018A">
      <w:pPr>
        <w:pStyle w:val="a"/>
        <w:rPr>
          <w:rFonts w:eastAsia="SimSun"/>
          <w:lang w:eastAsia="zh-CN"/>
        </w:rPr>
      </w:pPr>
      <w:r>
        <w:rPr>
          <w:rFonts w:cs="Arial"/>
        </w:rPr>
        <w:t>Electronic meeting</w:t>
      </w:r>
      <w:r w:rsidR="00DF018A" w:rsidRPr="00E23C3E">
        <w:rPr>
          <w:rFonts w:hint="eastAsia"/>
        </w:rPr>
        <w:t>,</w:t>
      </w:r>
      <w:r w:rsidR="00AD15D4">
        <w:t xml:space="preserve"> </w:t>
      </w:r>
      <w:r w:rsidR="00A30758">
        <w:rPr>
          <w:rFonts w:cs="Arial"/>
        </w:rPr>
        <w:t>2</w:t>
      </w:r>
      <w:r>
        <w:rPr>
          <w:rFonts w:cs="Arial"/>
        </w:rPr>
        <w:t>0</w:t>
      </w:r>
      <w:r w:rsidR="00DF018A" w:rsidRPr="00084769">
        <w:rPr>
          <w:rFonts w:cs="Arial"/>
        </w:rPr>
        <w:t xml:space="preserve"> – </w:t>
      </w:r>
      <w:r>
        <w:rPr>
          <w:rFonts w:cs="Arial"/>
        </w:rPr>
        <w:t>30</w:t>
      </w:r>
      <w:r w:rsidR="00DF018A">
        <w:rPr>
          <w:rFonts w:cs="Arial"/>
        </w:rPr>
        <w:t xml:space="preserve"> </w:t>
      </w:r>
      <w:r>
        <w:rPr>
          <w:rFonts w:cs="Arial"/>
        </w:rPr>
        <w:t>April</w:t>
      </w:r>
      <w:r w:rsidR="00DF018A">
        <w:t>, 20</w:t>
      </w:r>
      <w:r w:rsidR="00A30758">
        <w:t>20</w:t>
      </w:r>
    </w:p>
    <w:bookmarkEnd w:id="0"/>
    <w:bookmarkEnd w:id="1"/>
    <w:p w14:paraId="0F1A7801" w14:textId="77777777" w:rsidR="0043450E" w:rsidRPr="009674D4" w:rsidRDefault="0043450E" w:rsidP="0043450E">
      <w:pPr>
        <w:overflowPunct/>
        <w:autoSpaceDE/>
        <w:autoSpaceDN/>
        <w:adjustRightInd/>
        <w:textAlignment w:val="auto"/>
        <w:rPr>
          <w:rFonts w:ascii="Arial" w:hAnsi="Arial"/>
          <w:b/>
          <w:noProof/>
          <w:sz w:val="24"/>
        </w:rPr>
      </w:pPr>
    </w:p>
    <w:p w14:paraId="057A84BA" w14:textId="691F39B6"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89736D">
        <w:rPr>
          <w:sz w:val="22"/>
        </w:rPr>
        <w:t>, Nokia Shanghai Bell</w:t>
      </w:r>
    </w:p>
    <w:p w14:paraId="48427630" w14:textId="007C7F59" w:rsidR="0043450E" w:rsidRDefault="0043450E" w:rsidP="0043450E">
      <w:pPr>
        <w:rPr>
          <w:color w:val="000000"/>
          <w:lang w:val="en-US"/>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3174F7">
        <w:rPr>
          <w:sz w:val="22"/>
        </w:rPr>
        <w:t>IAB-</w:t>
      </w:r>
      <w:r w:rsidR="00FB47A3">
        <w:rPr>
          <w:sz w:val="22"/>
        </w:rPr>
        <w:t>MT ACLR and ACS in FR2</w:t>
      </w:r>
    </w:p>
    <w:p w14:paraId="38BCE621" w14:textId="02BB60C6" w:rsidR="00C24D31" w:rsidRPr="000D5C67" w:rsidRDefault="00C24D31" w:rsidP="0043450E">
      <w:pPr>
        <w:rPr>
          <w:sz w:val="22"/>
        </w:rPr>
      </w:pPr>
      <w:r w:rsidRPr="0057669F">
        <w:rPr>
          <w:b/>
          <w:color w:val="000000"/>
          <w:lang w:val="en-US"/>
        </w:rPr>
        <w:t>Agenda item:</w:t>
      </w:r>
      <w:r w:rsidR="00E46CA7">
        <w:rPr>
          <w:b/>
          <w:color w:val="000000"/>
          <w:lang w:val="en-US"/>
        </w:rPr>
        <w:tab/>
      </w:r>
      <w:r w:rsidR="00E46CA7">
        <w:rPr>
          <w:b/>
          <w:color w:val="000000"/>
          <w:lang w:val="en-US"/>
        </w:rPr>
        <w:tab/>
      </w:r>
      <w:r w:rsidR="00E46CA7">
        <w:rPr>
          <w:b/>
          <w:color w:val="000000"/>
          <w:lang w:val="en-US"/>
        </w:rPr>
        <w:tab/>
      </w:r>
      <w:r w:rsidR="00815BA7">
        <w:rPr>
          <w:sz w:val="22"/>
          <w:lang w:val="en-US"/>
        </w:rPr>
        <w:t>6.5.2.2.1</w:t>
      </w:r>
    </w:p>
    <w:p w14:paraId="41D55FE6" w14:textId="37A7C911" w:rsidR="00C24D31" w:rsidRPr="000D5C67" w:rsidRDefault="00C24D31" w:rsidP="0043450E">
      <w:pPr>
        <w:rPr>
          <w:sz w:val="22"/>
        </w:rPr>
      </w:pPr>
      <w:r w:rsidRPr="0057669F">
        <w:rPr>
          <w:b/>
          <w:sz w:val="22"/>
        </w:rPr>
        <w:t>Document for:</w:t>
      </w:r>
      <w:r w:rsidR="00E46CA7">
        <w:rPr>
          <w:b/>
          <w:sz w:val="22"/>
        </w:rPr>
        <w:tab/>
      </w:r>
      <w:r w:rsidR="00E46CA7" w:rsidRPr="00E46CA7">
        <w:rPr>
          <w:sz w:val="22"/>
        </w:rPr>
        <w:tab/>
      </w:r>
      <w:r w:rsidR="00E46CA7" w:rsidRPr="00E46CA7">
        <w:rPr>
          <w:sz w:val="22"/>
        </w:rPr>
        <w:tab/>
      </w:r>
      <w:r w:rsidR="00E02AD5" w:rsidRPr="00DA21EC">
        <w:rPr>
          <w:sz w:val="22"/>
        </w:rPr>
        <w:t>Approval</w:t>
      </w:r>
    </w:p>
    <w:p w14:paraId="31CCC137" w14:textId="77777777" w:rsidR="0043450E" w:rsidRDefault="0043450E" w:rsidP="0043450E">
      <w:pPr>
        <w:pStyle w:val="Heading1"/>
      </w:pPr>
      <w:r>
        <w:t>1</w:t>
      </w:r>
      <w:r>
        <w:tab/>
        <w:t>Introduction</w:t>
      </w:r>
    </w:p>
    <w:p w14:paraId="781A2A01" w14:textId="46C760AA" w:rsidR="00CF249F" w:rsidRDefault="00F47649" w:rsidP="000B5E8E">
      <w:r>
        <w:rPr>
          <w:rFonts w:eastAsia="Batang"/>
          <w:lang w:eastAsia="ko-KR"/>
        </w:rPr>
        <w:t xml:space="preserve">Part of the Integrated </w:t>
      </w:r>
      <w:r w:rsidR="00BA3DB3">
        <w:rPr>
          <w:rFonts w:eastAsia="Batang"/>
          <w:lang w:eastAsia="ko-KR"/>
        </w:rPr>
        <w:t>A</w:t>
      </w:r>
      <w:r>
        <w:rPr>
          <w:rFonts w:eastAsia="Batang"/>
          <w:lang w:eastAsia="ko-KR"/>
        </w:rPr>
        <w:t>ccess and Backhaul work item is defining the RF requirements</w:t>
      </w:r>
      <w:r w:rsidR="001779BE">
        <w:rPr>
          <w:rFonts w:eastAsia="Batang"/>
          <w:lang w:eastAsia="ko-KR"/>
        </w:rPr>
        <w:t>.</w:t>
      </w:r>
      <w:r>
        <w:rPr>
          <w:rFonts w:eastAsia="Batang"/>
          <w:lang w:eastAsia="ko-KR"/>
        </w:rPr>
        <w:t xml:space="preserve"> In this contribution we </w:t>
      </w:r>
      <w:r w:rsidR="001D6F67">
        <w:rPr>
          <w:rFonts w:eastAsia="Batang"/>
          <w:lang w:eastAsia="ko-KR"/>
        </w:rPr>
        <w:t xml:space="preserve">discuss the </w:t>
      </w:r>
      <w:r w:rsidR="005A5924">
        <w:rPr>
          <w:rFonts w:eastAsia="Batang"/>
          <w:lang w:eastAsia="ko-KR"/>
        </w:rPr>
        <w:t>IAB</w:t>
      </w:r>
      <w:r w:rsidR="00A83A3E">
        <w:rPr>
          <w:rFonts w:eastAsia="Batang"/>
          <w:lang w:eastAsia="ko-KR"/>
        </w:rPr>
        <w:t xml:space="preserve">-MT </w:t>
      </w:r>
      <w:r w:rsidR="00016ABD">
        <w:rPr>
          <w:rFonts w:eastAsia="Batang"/>
          <w:lang w:eastAsia="ko-KR"/>
        </w:rPr>
        <w:t xml:space="preserve">ACLR and ACS </w:t>
      </w:r>
      <w:r w:rsidR="00A83A3E">
        <w:rPr>
          <w:rFonts w:eastAsia="Batang"/>
          <w:lang w:eastAsia="ko-KR"/>
        </w:rPr>
        <w:t>requirements</w:t>
      </w:r>
      <w:r w:rsidR="00016ABD">
        <w:rPr>
          <w:rFonts w:eastAsia="Batang"/>
          <w:lang w:eastAsia="ko-KR"/>
        </w:rPr>
        <w:t xml:space="preserve"> in FR2.</w:t>
      </w:r>
      <w:r w:rsidR="00566191">
        <w:rPr>
          <w:rFonts w:eastAsia="Batang"/>
          <w:lang w:eastAsia="ko-KR"/>
        </w:rPr>
        <w:t xml:space="preserve"> </w:t>
      </w:r>
    </w:p>
    <w:p w14:paraId="1ECA57B6" w14:textId="77777777" w:rsidR="001C3296" w:rsidRDefault="001C3296" w:rsidP="001C3296">
      <w:pPr>
        <w:pStyle w:val="Heading1"/>
      </w:pPr>
      <w:r>
        <w:t>2</w:t>
      </w:r>
      <w:r>
        <w:tab/>
        <w:t>Discussion</w:t>
      </w:r>
    </w:p>
    <w:p w14:paraId="4FE24197" w14:textId="3653E51A" w:rsidR="00A32C0C" w:rsidRPr="00A32C0C" w:rsidRDefault="00A32C0C" w:rsidP="00FB47A3">
      <w:pPr>
        <w:rPr>
          <w:rFonts w:eastAsia="Batang"/>
          <w:lang w:eastAsia="ko-KR"/>
        </w:rPr>
      </w:pPr>
      <w:r w:rsidRPr="00A32C0C">
        <w:rPr>
          <w:rFonts w:eastAsia="Batang"/>
          <w:lang w:eastAsia="ko-KR"/>
        </w:rPr>
        <w:t>In RAN4#94-e</w:t>
      </w:r>
      <w:r>
        <w:rPr>
          <w:rFonts w:eastAsia="Batang"/>
          <w:lang w:eastAsia="ko-KR"/>
        </w:rPr>
        <w:t xml:space="preserve"> three different way forwards relevant to ACS and ACLR requirements were agreed: WF on IAB RX RF requirement in [1], </w:t>
      </w:r>
      <w:r>
        <w:rPr>
          <w:lang w:val="en-US"/>
        </w:rPr>
        <w:t>WF on IAB-MT ACS and IBB in FR2 in [2] and WF on IAB</w:t>
      </w:r>
      <w:r w:rsidR="00832C78">
        <w:rPr>
          <w:lang w:val="en-US"/>
        </w:rPr>
        <w:t xml:space="preserve"> </w:t>
      </w:r>
      <w:r>
        <w:rPr>
          <w:lang w:val="en-US"/>
        </w:rPr>
        <w:t>MT</w:t>
      </w:r>
      <w:r w:rsidR="00832C78">
        <w:rPr>
          <w:lang w:val="en-US"/>
        </w:rPr>
        <w:t xml:space="preserve"> class definition in [3]. In addition, it has been </w:t>
      </w:r>
      <w:proofErr w:type="spellStart"/>
      <w:r w:rsidR="00832C78">
        <w:rPr>
          <w:lang w:val="en-US"/>
        </w:rPr>
        <w:t>minuted</w:t>
      </w:r>
      <w:proofErr w:type="spellEnd"/>
      <w:r w:rsidR="00832C78">
        <w:rPr>
          <w:lang w:val="en-US"/>
        </w:rPr>
        <w:t xml:space="preserve"> to BS RF, testing and demodulation session chairman minutes:</w:t>
      </w:r>
      <w:r>
        <w:rPr>
          <w:lang w:val="en-US"/>
        </w:rPr>
        <w:t xml:space="preserve"> </w:t>
      </w:r>
    </w:p>
    <w:p w14:paraId="3272BC40" w14:textId="77777777" w:rsidR="00A32C0C" w:rsidRDefault="00A32C0C" w:rsidP="00832C78">
      <w:pPr>
        <w:ind w:left="284"/>
        <w:rPr>
          <w:color w:val="000000" w:themeColor="text1"/>
          <w:highlight w:val="green"/>
          <w:lang w:eastAsia="zh-CN"/>
        </w:rPr>
      </w:pPr>
      <w:r>
        <w:rPr>
          <w:color w:val="000000" w:themeColor="text1"/>
          <w:highlight w:val="green"/>
          <w:lang w:eastAsia="zh-CN"/>
        </w:rPr>
        <w:t xml:space="preserve">Agreements: </w:t>
      </w:r>
      <w:r w:rsidRPr="00A32C0C">
        <w:rPr>
          <w:rFonts w:eastAsiaTheme="minorEastAsia"/>
          <w:color w:val="000000" w:themeColor="text1"/>
          <w:highlight w:val="green"/>
          <w:lang w:eastAsia="zh-CN"/>
        </w:rPr>
        <w:t>IAB-MT ACL</w:t>
      </w:r>
      <w:r w:rsidRPr="00A32C0C">
        <w:rPr>
          <w:rFonts w:eastAsiaTheme="minorEastAsia"/>
          <w:color w:val="000000" w:themeColor="text1"/>
          <w:highlight w:val="green"/>
        </w:rPr>
        <w:t>R minimum requirement in FR2</w:t>
      </w:r>
    </w:p>
    <w:p w14:paraId="76ACC27B" w14:textId="77777777" w:rsidR="00A32C0C" w:rsidRDefault="00A32C0C" w:rsidP="00832C78">
      <w:pPr>
        <w:pStyle w:val="ListParagraph"/>
        <w:numPr>
          <w:ilvl w:val="1"/>
          <w:numId w:val="18"/>
        </w:numPr>
        <w:overflowPunct/>
        <w:autoSpaceDE/>
        <w:autoSpaceDN/>
        <w:adjustRightInd/>
        <w:spacing w:after="120" w:line="256" w:lineRule="auto"/>
        <w:ind w:left="1124"/>
        <w:contextualSpacing w:val="0"/>
        <w:textAlignment w:val="auto"/>
        <w:rPr>
          <w:rFonts w:eastAsiaTheme="minorEastAsia"/>
          <w:color w:val="000000" w:themeColor="text1"/>
          <w:highlight w:val="green"/>
          <w:lang w:eastAsia="zh-CN"/>
        </w:rPr>
      </w:pPr>
      <w:r w:rsidRPr="00A32C0C">
        <w:rPr>
          <w:rFonts w:eastAsiaTheme="minorEastAsia"/>
          <w:color w:val="000000" w:themeColor="text1"/>
          <w:highlight w:val="green"/>
        </w:rPr>
        <w:t xml:space="preserve">For Wide area IAB MT class: </w:t>
      </w:r>
    </w:p>
    <w:p w14:paraId="5CADE3B7" w14:textId="77777777" w:rsidR="00A32C0C" w:rsidRDefault="00A32C0C" w:rsidP="00832C78">
      <w:pPr>
        <w:numPr>
          <w:ilvl w:val="1"/>
          <w:numId w:val="19"/>
        </w:numPr>
        <w:tabs>
          <w:tab w:val="clear" w:pos="1440"/>
          <w:tab w:val="num" w:pos="1724"/>
        </w:tabs>
        <w:overflowPunct/>
        <w:autoSpaceDE/>
        <w:adjustRightInd/>
        <w:spacing w:line="256" w:lineRule="auto"/>
        <w:ind w:left="1724"/>
        <w:textAlignment w:val="auto"/>
        <w:rPr>
          <w:rFonts w:eastAsiaTheme="minorEastAsia"/>
          <w:color w:val="000000" w:themeColor="text1"/>
          <w:highlight w:val="green"/>
          <w:lang w:val="en-US" w:eastAsia="zh-CN"/>
        </w:rPr>
      </w:pPr>
      <w:r>
        <w:rPr>
          <w:rFonts w:eastAsiaTheme="minorEastAsia"/>
          <w:color w:val="000000" w:themeColor="text1"/>
          <w:highlight w:val="green"/>
          <w:lang w:val="fi-FI" w:eastAsia="zh-CN"/>
        </w:rPr>
        <w:t xml:space="preserve">Option 1: </w:t>
      </w:r>
      <w:proofErr w:type="spellStart"/>
      <w:r>
        <w:rPr>
          <w:rFonts w:eastAsiaTheme="minorEastAsia"/>
          <w:color w:val="000000" w:themeColor="text1"/>
          <w:highlight w:val="green"/>
          <w:lang w:val="fi-FI" w:eastAsia="zh-CN"/>
        </w:rPr>
        <w:t>reuse</w:t>
      </w:r>
      <w:proofErr w:type="spellEnd"/>
      <w:r>
        <w:rPr>
          <w:rFonts w:eastAsiaTheme="minorEastAsia"/>
          <w:color w:val="000000" w:themeColor="text1"/>
          <w:highlight w:val="green"/>
          <w:lang w:val="fi-FI" w:eastAsia="zh-CN"/>
        </w:rPr>
        <w:t xml:space="preserve"> BS ACLR</w:t>
      </w:r>
    </w:p>
    <w:p w14:paraId="1605C737" w14:textId="77777777" w:rsidR="00A32C0C" w:rsidRDefault="00A32C0C" w:rsidP="00832C78">
      <w:pPr>
        <w:numPr>
          <w:ilvl w:val="1"/>
          <w:numId w:val="19"/>
        </w:numPr>
        <w:tabs>
          <w:tab w:val="clear" w:pos="1440"/>
          <w:tab w:val="num" w:pos="1724"/>
        </w:tabs>
        <w:overflowPunct/>
        <w:autoSpaceDE/>
        <w:adjustRightInd/>
        <w:spacing w:line="256" w:lineRule="auto"/>
        <w:ind w:left="1724"/>
        <w:textAlignment w:val="auto"/>
        <w:rPr>
          <w:rFonts w:eastAsiaTheme="minorEastAsia"/>
          <w:color w:val="000000" w:themeColor="text1"/>
          <w:highlight w:val="green"/>
          <w:lang w:val="en-US" w:eastAsia="zh-CN"/>
        </w:rPr>
      </w:pPr>
      <w:r>
        <w:rPr>
          <w:rFonts w:eastAsiaTheme="minorEastAsia"/>
          <w:color w:val="000000" w:themeColor="text1"/>
          <w:highlight w:val="green"/>
          <w:lang w:val="fi-FI" w:eastAsia="zh-CN"/>
        </w:rPr>
        <w:t xml:space="preserve">Option 2: 24 </w:t>
      </w:r>
      <w:proofErr w:type="spellStart"/>
      <w:r>
        <w:rPr>
          <w:rFonts w:eastAsiaTheme="minorEastAsia"/>
          <w:color w:val="000000" w:themeColor="text1"/>
          <w:highlight w:val="green"/>
          <w:lang w:val="fi-FI" w:eastAsia="zh-CN"/>
        </w:rPr>
        <w:t>dBC</w:t>
      </w:r>
      <w:proofErr w:type="spellEnd"/>
    </w:p>
    <w:p w14:paraId="5D324C50" w14:textId="2387B639" w:rsidR="00832C78" w:rsidRDefault="00832C78" w:rsidP="00A32C0C">
      <w:r>
        <w:t>Based on these agreements, the open items are</w:t>
      </w:r>
    </w:p>
    <w:p w14:paraId="28665BA9" w14:textId="42A3B302" w:rsidR="00832C78" w:rsidRDefault="00832C78" w:rsidP="00832C78">
      <w:pPr>
        <w:pStyle w:val="ListParagraph"/>
        <w:numPr>
          <w:ilvl w:val="0"/>
          <w:numId w:val="20"/>
        </w:numPr>
      </w:pPr>
      <w:r>
        <w:t>Wanted signal level and interfering signal details for ACS</w:t>
      </w:r>
    </w:p>
    <w:p w14:paraId="77217A5F" w14:textId="68618E47" w:rsidR="00832C78" w:rsidRDefault="00832C78" w:rsidP="00832C78">
      <w:pPr>
        <w:pStyle w:val="ListParagraph"/>
        <w:numPr>
          <w:ilvl w:val="0"/>
          <w:numId w:val="20"/>
        </w:numPr>
      </w:pPr>
      <w:r>
        <w:t>ACLR requirements</w:t>
      </w:r>
    </w:p>
    <w:p w14:paraId="25F83B06" w14:textId="49A6D795" w:rsidR="00832C78" w:rsidRDefault="00832C78" w:rsidP="00832C78">
      <w:r>
        <w:t xml:space="preserve">For </w:t>
      </w:r>
      <w:proofErr w:type="gramStart"/>
      <w:r>
        <w:t>both of the items</w:t>
      </w:r>
      <w:proofErr w:type="gramEnd"/>
      <w:r>
        <w:t xml:space="preserve"> there may be dependency to the IAB-MT class.</w:t>
      </w:r>
    </w:p>
    <w:p w14:paraId="4F80ACE1" w14:textId="4B04D30F" w:rsidR="00A32C0C" w:rsidRDefault="008C1DA9" w:rsidP="00A32C0C">
      <w:r>
        <w:t>As discussed in [6], the different IAB-MT classes are based on different deployment scenarios, which may end up creating a need for different RF requirements. The Wide Area IAB-MT is based on macro/micro deployment scenario, and t</w:t>
      </w:r>
      <w:r w:rsidR="00A32C0C">
        <w:t>he results of the coexistence study also show that coexistence is easier to satisfy in the micro/macro deployment, with e.g. results in [4, 5] stating that 17 dB ACLR would be sufficient for the homogeneous scenario.</w:t>
      </w:r>
    </w:p>
    <w:p w14:paraId="1321CD1B" w14:textId="5299AE6B" w:rsidR="008C1DA9" w:rsidRDefault="008C1DA9" w:rsidP="00A32C0C">
      <w:r>
        <w:t>17 dB ACLR is not practical to specify, as in practice occupied bandwidth requirement indirectly mandates roughly 23 dB ACLR, assuming 0.5% of power leaked on either ACLR region. This is aligned with the agreement from chairman notes. As ACLR requirement is based on guaranteeing the coexistence needs, there is no need to specify</w:t>
      </w:r>
      <w:r w:rsidR="00A94C4B">
        <w:t xml:space="preserve"> more stringent ACLR for the Wide area IAB-MT than the option 2, i.e. 24 </w:t>
      </w:r>
      <w:proofErr w:type="spellStart"/>
      <w:r w:rsidR="00A94C4B">
        <w:t>dBc</w:t>
      </w:r>
      <w:proofErr w:type="spellEnd"/>
      <w:r w:rsidR="00A94C4B">
        <w:t>.</w:t>
      </w:r>
    </w:p>
    <w:p w14:paraId="6CC5108A" w14:textId="4D1A1C39" w:rsidR="00A94C4B" w:rsidRPr="00A94C4B" w:rsidRDefault="00A94C4B" w:rsidP="00A32C0C">
      <w:pPr>
        <w:rPr>
          <w:b/>
          <w:bCs/>
        </w:rPr>
      </w:pPr>
      <w:r w:rsidRPr="00A94C4B">
        <w:rPr>
          <w:b/>
          <w:bCs/>
        </w:rPr>
        <w:t>Observation 1:</w:t>
      </w:r>
      <w:r>
        <w:rPr>
          <w:b/>
          <w:bCs/>
        </w:rPr>
        <w:t xml:space="preserve"> Coexistence simulations show that 24 </w:t>
      </w:r>
      <w:proofErr w:type="spellStart"/>
      <w:r>
        <w:rPr>
          <w:b/>
          <w:bCs/>
        </w:rPr>
        <w:t>dBc</w:t>
      </w:r>
      <w:proofErr w:type="spellEnd"/>
      <w:r>
        <w:rPr>
          <w:b/>
          <w:bCs/>
        </w:rPr>
        <w:t xml:space="preserve"> ACLR for </w:t>
      </w:r>
      <w:r w:rsidR="00E37E85">
        <w:rPr>
          <w:b/>
          <w:bCs/>
        </w:rPr>
        <w:t xml:space="preserve">Wide Area </w:t>
      </w:r>
      <w:r>
        <w:rPr>
          <w:b/>
          <w:bCs/>
        </w:rPr>
        <w:t>IAB</w:t>
      </w:r>
      <w:r w:rsidR="00E37E85">
        <w:rPr>
          <w:b/>
          <w:bCs/>
        </w:rPr>
        <w:t>-</w:t>
      </w:r>
      <w:r>
        <w:rPr>
          <w:b/>
          <w:bCs/>
        </w:rPr>
        <w:t xml:space="preserve">MT in FR2 is </w:t>
      </w:r>
      <w:proofErr w:type="gramStart"/>
      <w:r>
        <w:rPr>
          <w:b/>
          <w:bCs/>
        </w:rPr>
        <w:t>sufficient</w:t>
      </w:r>
      <w:proofErr w:type="gramEnd"/>
      <w:r>
        <w:rPr>
          <w:b/>
          <w:bCs/>
        </w:rPr>
        <w:t xml:space="preserve"> for adjacent channel coexistence</w:t>
      </w:r>
      <w:r w:rsidR="00E37E85">
        <w:rPr>
          <w:b/>
          <w:bCs/>
        </w:rPr>
        <w:t>.</w:t>
      </w:r>
    </w:p>
    <w:p w14:paraId="1F402111" w14:textId="24F26EF1" w:rsidR="00A94C4B" w:rsidRDefault="00E37E85" w:rsidP="00FB47A3">
      <w:r>
        <w:t xml:space="preserve">The possible benefit of 28 </w:t>
      </w:r>
      <w:proofErr w:type="spellStart"/>
      <w:r>
        <w:t>dBc</w:t>
      </w:r>
      <w:proofErr w:type="spellEnd"/>
      <w:r>
        <w:t xml:space="preserve"> ACLR is that it would enable directly re-using BS requirements also for OBUE and relative ACLR as </w:t>
      </w:r>
      <w:r w:rsidR="00A94C4B">
        <w:t xml:space="preserve">operating band unwanted emissions and absolute ACLR requirements are closely linked together with relative ACLR. It is important that the requirements are aligned with each other for them to work together to create a reasonable unwanted </w:t>
      </w:r>
      <w:proofErr w:type="gramStart"/>
      <w:r w:rsidR="00A94C4B">
        <w:t>emissions framework as a whole</w:t>
      </w:r>
      <w:proofErr w:type="gramEnd"/>
      <w:r w:rsidR="00A94C4B">
        <w:t>. Therefore, from process perspective it makes sense to agree the relative ACLR first.</w:t>
      </w:r>
    </w:p>
    <w:p w14:paraId="46A4D6AD" w14:textId="55FDAC1C" w:rsidR="00E37E85" w:rsidRDefault="00E37E85" w:rsidP="00FB47A3">
      <w:pPr>
        <w:rPr>
          <w:b/>
          <w:bCs/>
        </w:rPr>
      </w:pPr>
      <w:r>
        <w:rPr>
          <w:b/>
          <w:bCs/>
        </w:rPr>
        <w:t xml:space="preserve">Observation 2: 28 </w:t>
      </w:r>
      <w:proofErr w:type="spellStart"/>
      <w:r>
        <w:rPr>
          <w:b/>
          <w:bCs/>
        </w:rPr>
        <w:t>dBc</w:t>
      </w:r>
      <w:proofErr w:type="spellEnd"/>
      <w:r>
        <w:rPr>
          <w:b/>
          <w:bCs/>
        </w:rPr>
        <w:t xml:space="preserve"> ACLR for IAB-MT in FR2 would enable the direct re-use of BS requirements also for OBUE and relative ACLR.</w:t>
      </w:r>
    </w:p>
    <w:p w14:paraId="63E93EB3" w14:textId="621688A2" w:rsidR="00E37E85" w:rsidRDefault="00A94C4B" w:rsidP="00FB47A3">
      <w:pPr>
        <w:rPr>
          <w:b/>
          <w:bCs/>
        </w:rPr>
      </w:pPr>
      <w:r w:rsidRPr="00A94C4B">
        <w:rPr>
          <w:b/>
          <w:bCs/>
        </w:rPr>
        <w:t xml:space="preserve">Proposal </w:t>
      </w:r>
      <w:r>
        <w:rPr>
          <w:b/>
          <w:bCs/>
        </w:rPr>
        <w:t>1</w:t>
      </w:r>
      <w:r w:rsidRPr="00A94C4B">
        <w:rPr>
          <w:b/>
          <w:bCs/>
        </w:rPr>
        <w:t>:</w:t>
      </w:r>
      <w:r>
        <w:rPr>
          <w:b/>
          <w:bCs/>
        </w:rPr>
        <w:t xml:space="preserve"> OBUE and absolute ACLR requirements shall be agreed after relative ACLR to ensure them being aligned with each other.</w:t>
      </w:r>
    </w:p>
    <w:p w14:paraId="15848B64" w14:textId="63771988" w:rsidR="00E37E85" w:rsidRDefault="00E37E85" w:rsidP="00FB47A3">
      <w:r>
        <w:lastRenderedPageBreak/>
        <w:t xml:space="preserve">As the coexistence is deemed more challenging for other than Wide Area IAB-MT, it is not obvious that 24 </w:t>
      </w:r>
      <w:proofErr w:type="spellStart"/>
      <w:r>
        <w:t>dBc</w:t>
      </w:r>
      <w:proofErr w:type="spellEnd"/>
      <w:r>
        <w:t xml:space="preserve"> ACLR could be used for Local Area IAB-MT</w:t>
      </w:r>
      <w:r w:rsidR="005350A9">
        <w:t xml:space="preserve"> unless power limits are considered for Local Area IAB-MT</w:t>
      </w:r>
      <w:r>
        <w:t xml:space="preserve">. Therefore, in case the same ACLR is desired for both classes, it should be 28 </w:t>
      </w:r>
      <w:proofErr w:type="spellStart"/>
      <w:r>
        <w:t>dBc</w:t>
      </w:r>
      <w:proofErr w:type="spellEnd"/>
      <w:r>
        <w:t>.</w:t>
      </w:r>
      <w:r w:rsidR="00FA3D30">
        <w:t xml:space="preserve"> </w:t>
      </w:r>
      <w:r w:rsidR="005350A9">
        <w:t>Re-using BS requirements also alleviates concerns on not being align with regulatory requirements.</w:t>
      </w:r>
    </w:p>
    <w:p w14:paraId="39A57FEA" w14:textId="56DBE613" w:rsidR="00E37E85" w:rsidRPr="00E37E85" w:rsidRDefault="00E37E85" w:rsidP="00FB47A3">
      <w:pPr>
        <w:rPr>
          <w:b/>
          <w:bCs/>
        </w:rPr>
      </w:pPr>
      <w:r w:rsidRPr="00E37E85">
        <w:rPr>
          <w:b/>
          <w:bCs/>
        </w:rPr>
        <w:t xml:space="preserve">Proposal 2: Re-use relative ACLR requirements </w:t>
      </w:r>
      <w:r w:rsidR="00FA3D30">
        <w:rPr>
          <w:b/>
          <w:bCs/>
        </w:rPr>
        <w:t xml:space="preserve">of BS </w:t>
      </w:r>
      <w:r w:rsidRPr="00E37E85">
        <w:rPr>
          <w:b/>
          <w:bCs/>
        </w:rPr>
        <w:t>for both IAB-MT classes</w:t>
      </w:r>
      <w:r w:rsidR="00FA3D30">
        <w:rPr>
          <w:b/>
          <w:bCs/>
        </w:rPr>
        <w:t xml:space="preserve"> in FR2</w:t>
      </w:r>
      <w:r w:rsidRPr="00E37E85">
        <w:rPr>
          <w:b/>
          <w:bCs/>
        </w:rPr>
        <w:t>.</w:t>
      </w:r>
    </w:p>
    <w:p w14:paraId="7ED1FBEF" w14:textId="3DA940D7" w:rsidR="00E37E85" w:rsidRDefault="00E37E85" w:rsidP="00FB47A3">
      <w:pPr>
        <w:rPr>
          <w:b/>
          <w:bCs/>
        </w:rPr>
      </w:pPr>
      <w:r w:rsidRPr="00E37E85">
        <w:rPr>
          <w:b/>
          <w:bCs/>
        </w:rPr>
        <w:t>Proposal 3:</w:t>
      </w:r>
      <w:r w:rsidR="00FA3D30">
        <w:rPr>
          <w:b/>
          <w:bCs/>
        </w:rPr>
        <w:t xml:space="preserve"> In case proposal 2 is agreed, re-use BS requirements for absolute ACLR and OBUE for both IAB-MT classes in FR2.</w:t>
      </w:r>
    </w:p>
    <w:p w14:paraId="17C5675D" w14:textId="42875A58" w:rsidR="00FA3D30" w:rsidRPr="007C33C2" w:rsidRDefault="00FA3D30" w:rsidP="00FB47A3">
      <w:r>
        <w:rPr>
          <w:rFonts w:eastAsia="Batang"/>
          <w:lang w:eastAsia="ko-KR"/>
        </w:rPr>
        <w:t>When it comes to ACS requirements and agreeing the wanted signal level, the different deployment scenarios associated with the different IAB-MT classes need to be considered. The classification and especially differences between Wide Area IAB-MTs and Local Area IAB-MTs is further discussed in [6]. The well-defined deployment scenario for Wide Area IAB-MTs, which makes it also possible to not specify RRM requirements, reminds a lot typical Wide Area Base Station deployments. This gives motivation to re-use BS requirements especially for out-of-band blocking which is aimed to stress the design also towards non-3GPP systems. As the deployment scenario does not significantly differ from BS deployment, the same requirements can be re-used.</w:t>
      </w:r>
      <w:r w:rsidR="007C33C2">
        <w:rPr>
          <w:rFonts w:eastAsia="Batang"/>
          <w:lang w:eastAsia="ko-KR"/>
        </w:rPr>
        <w:t xml:space="preserve"> </w:t>
      </w:r>
      <w:r w:rsidR="007C33C2">
        <w:t>We also propose to re-use the interferer details from BS requirements for Wide Area IAB-MT in FR2.</w:t>
      </w:r>
    </w:p>
    <w:p w14:paraId="308EF149" w14:textId="78C41EF8" w:rsidR="00E36667" w:rsidRPr="007C33C2" w:rsidRDefault="007C33C2" w:rsidP="007C33C2">
      <w:pPr>
        <w:rPr>
          <w:b/>
          <w:bCs/>
        </w:rPr>
      </w:pPr>
      <w:r w:rsidRPr="007C33C2">
        <w:rPr>
          <w:b/>
          <w:bCs/>
        </w:rPr>
        <w:t>Proposal 4</w:t>
      </w:r>
      <w:r>
        <w:rPr>
          <w:b/>
          <w:bCs/>
        </w:rPr>
        <w:t>: Re-use BS wanted signal level, i.e. REFSENS + 6 dB, together with the same interferer waveform and frequency offsets for Wide Area IAB-MT ACS requirement.</w:t>
      </w:r>
    </w:p>
    <w:p w14:paraId="52782008" w14:textId="524CB258" w:rsidR="00F32200" w:rsidRDefault="00F32200" w:rsidP="00F32200">
      <w:pPr>
        <w:pStyle w:val="Heading1"/>
      </w:pPr>
      <w:r>
        <w:t>3</w:t>
      </w:r>
      <w:r>
        <w:tab/>
        <w:t>Conclusion</w:t>
      </w:r>
    </w:p>
    <w:p w14:paraId="4196D530" w14:textId="2BC7AE2B" w:rsidR="002F6C06" w:rsidRDefault="0056035D" w:rsidP="00D371FB">
      <w:r>
        <w:t xml:space="preserve">In this contribution </w:t>
      </w:r>
      <w:r w:rsidR="002F6C06">
        <w:t>IAB-MT</w:t>
      </w:r>
      <w:r w:rsidR="00A94C4B">
        <w:t xml:space="preserve"> ACLR and ACS in FR2 were discussed and the following observation and proposal were made:</w:t>
      </w:r>
    </w:p>
    <w:p w14:paraId="6BDC5966" w14:textId="77777777" w:rsidR="00A94C4B" w:rsidRPr="00A94C4B" w:rsidRDefault="00A94C4B" w:rsidP="00A94C4B">
      <w:pPr>
        <w:rPr>
          <w:b/>
          <w:bCs/>
        </w:rPr>
      </w:pPr>
      <w:r w:rsidRPr="00A94C4B">
        <w:rPr>
          <w:b/>
          <w:bCs/>
        </w:rPr>
        <w:t>Observation 1:</w:t>
      </w:r>
      <w:r>
        <w:rPr>
          <w:b/>
          <w:bCs/>
        </w:rPr>
        <w:t xml:space="preserve"> Coexistence simulations show that 24 </w:t>
      </w:r>
      <w:proofErr w:type="spellStart"/>
      <w:r>
        <w:rPr>
          <w:b/>
          <w:bCs/>
        </w:rPr>
        <w:t>dBc</w:t>
      </w:r>
      <w:proofErr w:type="spellEnd"/>
      <w:r>
        <w:rPr>
          <w:b/>
          <w:bCs/>
        </w:rPr>
        <w:t xml:space="preserve"> ACLR for IAB—MT in FR2 is </w:t>
      </w:r>
      <w:proofErr w:type="gramStart"/>
      <w:r>
        <w:rPr>
          <w:b/>
          <w:bCs/>
        </w:rPr>
        <w:t>sufficient</w:t>
      </w:r>
      <w:proofErr w:type="gramEnd"/>
      <w:r>
        <w:rPr>
          <w:b/>
          <w:bCs/>
        </w:rPr>
        <w:t xml:space="preserve"> for adjacent channel coexistence for Wide Area IAB-MT.</w:t>
      </w:r>
    </w:p>
    <w:p w14:paraId="7E5DF4B3" w14:textId="032C7FBC" w:rsidR="00E37E85" w:rsidRDefault="00E37E85" w:rsidP="00A94C4B">
      <w:pPr>
        <w:rPr>
          <w:b/>
          <w:bCs/>
        </w:rPr>
      </w:pPr>
      <w:r>
        <w:rPr>
          <w:b/>
          <w:bCs/>
        </w:rPr>
        <w:t xml:space="preserve">Observation 2: 28 </w:t>
      </w:r>
      <w:proofErr w:type="spellStart"/>
      <w:r>
        <w:rPr>
          <w:b/>
          <w:bCs/>
        </w:rPr>
        <w:t>dBc</w:t>
      </w:r>
      <w:proofErr w:type="spellEnd"/>
      <w:r>
        <w:rPr>
          <w:b/>
          <w:bCs/>
        </w:rPr>
        <w:t xml:space="preserve"> ACLR for IAB-MT in FR2 would enable the direct re-use of BS requirements also for OBUE and relative ACLR.</w:t>
      </w:r>
    </w:p>
    <w:p w14:paraId="6954F977" w14:textId="1BA404EF" w:rsidR="00A94C4B" w:rsidRPr="00A94C4B" w:rsidRDefault="00A94C4B" w:rsidP="00A94C4B">
      <w:pPr>
        <w:rPr>
          <w:b/>
          <w:bCs/>
          <w:sz w:val="28"/>
          <w:szCs w:val="28"/>
        </w:rPr>
      </w:pPr>
      <w:r w:rsidRPr="00A94C4B">
        <w:rPr>
          <w:b/>
          <w:bCs/>
        </w:rPr>
        <w:t xml:space="preserve">Proposal </w:t>
      </w:r>
      <w:r>
        <w:rPr>
          <w:b/>
          <w:bCs/>
        </w:rPr>
        <w:t>1</w:t>
      </w:r>
      <w:r w:rsidRPr="00A94C4B">
        <w:rPr>
          <w:b/>
          <w:bCs/>
        </w:rPr>
        <w:t>:</w:t>
      </w:r>
      <w:r>
        <w:rPr>
          <w:b/>
          <w:bCs/>
        </w:rPr>
        <w:t xml:space="preserve"> OBUE and absolute ACLR requirements shall be agreed after relative ACLR to ensure them being aligned with each other.</w:t>
      </w:r>
    </w:p>
    <w:p w14:paraId="0DFACBDE" w14:textId="77777777" w:rsidR="00FA3D30" w:rsidRPr="00E37E85" w:rsidRDefault="00FA3D30" w:rsidP="00FA3D30">
      <w:pPr>
        <w:rPr>
          <w:b/>
          <w:bCs/>
        </w:rPr>
      </w:pPr>
      <w:r w:rsidRPr="00E37E85">
        <w:rPr>
          <w:b/>
          <w:bCs/>
        </w:rPr>
        <w:t xml:space="preserve">Proposal 2: Re-use relative ACLR requirements </w:t>
      </w:r>
      <w:r>
        <w:rPr>
          <w:b/>
          <w:bCs/>
        </w:rPr>
        <w:t xml:space="preserve">of BS </w:t>
      </w:r>
      <w:r w:rsidRPr="00E37E85">
        <w:rPr>
          <w:b/>
          <w:bCs/>
        </w:rPr>
        <w:t>for both IAB-MT classes.</w:t>
      </w:r>
    </w:p>
    <w:p w14:paraId="696BAD9B" w14:textId="77777777" w:rsidR="00FA3D30" w:rsidRDefault="00FA3D30" w:rsidP="00FA3D30">
      <w:pPr>
        <w:rPr>
          <w:b/>
          <w:bCs/>
        </w:rPr>
      </w:pPr>
      <w:r w:rsidRPr="00E37E85">
        <w:rPr>
          <w:b/>
          <w:bCs/>
        </w:rPr>
        <w:t>Proposal 3:</w:t>
      </w:r>
      <w:r>
        <w:rPr>
          <w:b/>
          <w:bCs/>
        </w:rPr>
        <w:t xml:space="preserve"> In case proposal 2 is agreed, re-use BS requirements for absolute ACLR and OBUE for both IAB-MT classes</w:t>
      </w:r>
    </w:p>
    <w:p w14:paraId="267183DC" w14:textId="283DE221" w:rsidR="00A94C4B" w:rsidRDefault="003E3122" w:rsidP="00D371FB">
      <w:pPr>
        <w:rPr>
          <w:b/>
          <w:bCs/>
        </w:rPr>
      </w:pPr>
      <w:r w:rsidRPr="007C33C2">
        <w:rPr>
          <w:b/>
          <w:bCs/>
        </w:rPr>
        <w:t>Proposal 4</w:t>
      </w:r>
      <w:r>
        <w:rPr>
          <w:b/>
          <w:bCs/>
        </w:rPr>
        <w:t>: Re-use BS wanted signal level, i.e. REFSENS + 6 dB, together with the same interferer waveform and frequency offsets for Wide Area IAB-MT ACS requirement.</w:t>
      </w:r>
    </w:p>
    <w:p w14:paraId="55B204E9" w14:textId="77777777" w:rsidR="0057669F" w:rsidRDefault="0057669F" w:rsidP="0057669F">
      <w:pPr>
        <w:pStyle w:val="Heading1"/>
      </w:pPr>
      <w:r>
        <w:t>4</w:t>
      </w:r>
      <w:r>
        <w:tab/>
        <w:t>Reference</w:t>
      </w:r>
      <w:r w:rsidR="0035582C">
        <w:t>s</w:t>
      </w:r>
    </w:p>
    <w:p w14:paraId="0CA056E3" w14:textId="77777777" w:rsidR="00A32C0C" w:rsidRPr="00C14230" w:rsidRDefault="00A32C0C" w:rsidP="00A32C0C">
      <w:pPr>
        <w:ind w:left="567" w:hanging="567"/>
      </w:pPr>
      <w:r>
        <w:t>[1]</w:t>
      </w:r>
      <w:r>
        <w:tab/>
        <w:t>R4-2002483 WF on IAB RX RF requirement, Samsung</w:t>
      </w:r>
    </w:p>
    <w:p w14:paraId="7E32061F" w14:textId="77777777" w:rsidR="00A32C0C" w:rsidRDefault="00A32C0C" w:rsidP="00A32C0C">
      <w:pPr>
        <w:ind w:left="567" w:hanging="567"/>
        <w:rPr>
          <w:lang w:val="en-US"/>
        </w:rPr>
      </w:pPr>
      <w:r>
        <w:rPr>
          <w:lang w:val="en-US"/>
        </w:rPr>
        <w:t>[2]</w:t>
      </w:r>
      <w:r>
        <w:rPr>
          <w:lang w:val="en-US"/>
        </w:rPr>
        <w:tab/>
        <w:t>RP-2002491 WF on IAB-MT ACS and IBB in FR2</w:t>
      </w:r>
      <w:r w:rsidRPr="00A269DA">
        <w:rPr>
          <w:lang w:val="en-US"/>
        </w:rPr>
        <w:t>, Ericsson</w:t>
      </w:r>
    </w:p>
    <w:p w14:paraId="6021D449" w14:textId="77777777" w:rsidR="00A32C0C" w:rsidRDefault="00A32C0C" w:rsidP="00A32C0C">
      <w:pPr>
        <w:ind w:left="567" w:hanging="567"/>
        <w:rPr>
          <w:lang w:val="en-US"/>
        </w:rPr>
      </w:pPr>
      <w:r>
        <w:rPr>
          <w:lang w:val="en-US"/>
        </w:rPr>
        <w:t>[3]</w:t>
      </w:r>
      <w:r>
        <w:rPr>
          <w:lang w:val="en-US"/>
        </w:rPr>
        <w:tab/>
      </w:r>
      <w:r>
        <w:rPr>
          <w:lang w:val="en-US"/>
        </w:rPr>
        <w:tab/>
        <w:t>R4-2002494, WF on IAB MT class definition</w:t>
      </w:r>
      <w:r w:rsidRPr="007149F9">
        <w:rPr>
          <w:lang w:val="en-US"/>
        </w:rPr>
        <w:t xml:space="preserve">, </w:t>
      </w:r>
      <w:r>
        <w:rPr>
          <w:lang w:val="en-US"/>
        </w:rPr>
        <w:t>Samsung</w:t>
      </w:r>
    </w:p>
    <w:p w14:paraId="1C0A05F0" w14:textId="12677402" w:rsidR="007149F9" w:rsidRPr="007149F9" w:rsidRDefault="007149F9" w:rsidP="00A32C0C">
      <w:pPr>
        <w:ind w:left="567" w:hanging="567"/>
        <w:rPr>
          <w:lang w:val="en-US"/>
        </w:rPr>
      </w:pPr>
      <w:r>
        <w:rPr>
          <w:lang w:val="en-US"/>
        </w:rPr>
        <w:t>[4]</w:t>
      </w:r>
      <w:r>
        <w:rPr>
          <w:lang w:val="en-US"/>
        </w:rPr>
        <w:tab/>
      </w:r>
      <w:r>
        <w:rPr>
          <w:lang w:val="en-US"/>
        </w:rPr>
        <w:tab/>
        <w:t xml:space="preserve">R4-2001280, </w:t>
      </w:r>
      <w:r w:rsidRPr="007149F9">
        <w:rPr>
          <w:lang w:val="en-US"/>
        </w:rPr>
        <w:t>Definition of IAB-MT ACLR requirement in FR2, Qualcomm Incorporated</w:t>
      </w:r>
      <w:bookmarkStart w:id="2" w:name="_GoBack"/>
      <w:bookmarkEnd w:id="2"/>
    </w:p>
    <w:p w14:paraId="58DBF8BC" w14:textId="0EF970C2" w:rsidR="00A32C0C" w:rsidRDefault="00A32C0C" w:rsidP="00A32C0C">
      <w:pPr>
        <w:ind w:left="567" w:hanging="567"/>
        <w:rPr>
          <w:lang w:val="en-US"/>
        </w:rPr>
      </w:pPr>
      <w:r>
        <w:rPr>
          <w:lang w:val="en-US"/>
        </w:rPr>
        <w:t>[5]</w:t>
      </w:r>
      <w:r>
        <w:rPr>
          <w:lang w:val="en-US"/>
        </w:rPr>
        <w:tab/>
        <w:t xml:space="preserve">R4-2001432 </w:t>
      </w:r>
      <w:r w:rsidRPr="007149F9">
        <w:rPr>
          <w:lang w:val="en-US"/>
        </w:rPr>
        <w:t>TP to TR 38.xxx IAB-Node blocking, power class and coexistence requirements in FR2</w:t>
      </w:r>
      <w:r>
        <w:rPr>
          <w:lang w:val="en-US"/>
        </w:rPr>
        <w:t>, Nokia, Nokia Shanghai Bell</w:t>
      </w:r>
    </w:p>
    <w:p w14:paraId="2EA20434" w14:textId="633AAED2" w:rsidR="00832C78" w:rsidRPr="00832C78" w:rsidRDefault="00832C78" w:rsidP="00832C78">
      <w:pPr>
        <w:ind w:left="567" w:hanging="567"/>
        <w:rPr>
          <w:lang w:val="en-US"/>
        </w:rPr>
      </w:pPr>
      <w:r w:rsidRPr="00832C78">
        <w:rPr>
          <w:lang w:val="en-US"/>
        </w:rPr>
        <w:t>[6]</w:t>
      </w:r>
      <w:r w:rsidRPr="00832C78">
        <w:rPr>
          <w:lang w:val="en-US"/>
        </w:rPr>
        <w:tab/>
        <w:t>R4-</w:t>
      </w:r>
      <w:r w:rsidRPr="00815BA7">
        <w:rPr>
          <w:lang w:val="en-US"/>
        </w:rPr>
        <w:t>200</w:t>
      </w:r>
      <w:r w:rsidR="00815BA7" w:rsidRPr="00815BA7">
        <w:rPr>
          <w:lang w:val="en-US"/>
        </w:rPr>
        <w:t>3774</w:t>
      </w:r>
      <w:r w:rsidRPr="00832C78">
        <w:rPr>
          <w:lang w:val="en-US"/>
        </w:rPr>
        <w:t xml:space="preserve"> IAB-Node classification and related output power requirements, Nokia, Nokia Shanghai Bell</w:t>
      </w:r>
    </w:p>
    <w:p w14:paraId="5CE19DDF" w14:textId="78792BF3" w:rsidR="00115068" w:rsidRPr="00832C78" w:rsidRDefault="00115068" w:rsidP="00832C78">
      <w:pPr>
        <w:ind w:left="567" w:hanging="567"/>
        <w:rPr>
          <w:lang w:val="en-US"/>
        </w:rPr>
      </w:pPr>
    </w:p>
    <w:sectPr w:rsidR="00115068" w:rsidRPr="00832C78" w:rsidSect="00F32200">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709"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E7A242" w14:textId="77777777" w:rsidR="00581ECF" w:rsidRDefault="00581ECF" w:rsidP="002B3503">
      <w:pPr>
        <w:spacing w:after="0"/>
      </w:pPr>
      <w:r>
        <w:separator/>
      </w:r>
    </w:p>
  </w:endnote>
  <w:endnote w:type="continuationSeparator" w:id="0">
    <w:p w14:paraId="151A5CEB" w14:textId="77777777" w:rsidR="00581ECF" w:rsidRDefault="00581ECF"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41A9F" w14:textId="77777777" w:rsidR="006A21E1" w:rsidRDefault="006A21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C594D" w14:textId="77777777" w:rsidR="006A21E1" w:rsidRDefault="006A21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897A5" w14:textId="77777777" w:rsidR="006A21E1" w:rsidRDefault="006A21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B485C5" w14:textId="77777777" w:rsidR="00581ECF" w:rsidRDefault="00581ECF" w:rsidP="002B3503">
      <w:pPr>
        <w:spacing w:after="0"/>
      </w:pPr>
      <w:r>
        <w:separator/>
      </w:r>
    </w:p>
  </w:footnote>
  <w:footnote w:type="continuationSeparator" w:id="0">
    <w:p w14:paraId="3B0448EA" w14:textId="77777777" w:rsidR="00581ECF" w:rsidRDefault="00581ECF"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C110D" w14:textId="77777777" w:rsidR="002B3503" w:rsidRDefault="002B350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87148" w14:textId="77777777" w:rsidR="006A21E1" w:rsidRDefault="006A21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DBF74" w14:textId="77777777" w:rsidR="006A21E1" w:rsidRDefault="006A21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02D28"/>
    <w:multiLevelType w:val="hybridMultilevel"/>
    <w:tmpl w:val="323815B4"/>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024C72"/>
    <w:multiLevelType w:val="hybridMultilevel"/>
    <w:tmpl w:val="C68C93FC"/>
    <w:lvl w:ilvl="0" w:tplc="7C22815A">
      <w:start w:val="3"/>
      <w:numFmt w:val="bullet"/>
      <w:lvlText w:val=""/>
      <w:lvlJc w:val="left"/>
      <w:pPr>
        <w:ind w:left="1725" w:hanging="360"/>
      </w:pPr>
      <w:rPr>
        <w:rFonts w:ascii="Wingdings" w:eastAsia="Times New Roman" w:hAnsi="Wingdings" w:cs="Times New Roman" w:hint="default"/>
      </w:rPr>
    </w:lvl>
    <w:lvl w:ilvl="1" w:tplc="040B0003" w:tentative="1">
      <w:start w:val="1"/>
      <w:numFmt w:val="bullet"/>
      <w:lvlText w:val="o"/>
      <w:lvlJc w:val="left"/>
      <w:pPr>
        <w:ind w:left="2445" w:hanging="360"/>
      </w:pPr>
      <w:rPr>
        <w:rFonts w:ascii="Courier New" w:hAnsi="Courier New" w:cs="Courier New" w:hint="default"/>
      </w:rPr>
    </w:lvl>
    <w:lvl w:ilvl="2" w:tplc="040B0005" w:tentative="1">
      <w:start w:val="1"/>
      <w:numFmt w:val="bullet"/>
      <w:lvlText w:val=""/>
      <w:lvlJc w:val="left"/>
      <w:pPr>
        <w:ind w:left="3165" w:hanging="360"/>
      </w:pPr>
      <w:rPr>
        <w:rFonts w:ascii="Wingdings" w:hAnsi="Wingdings" w:hint="default"/>
      </w:rPr>
    </w:lvl>
    <w:lvl w:ilvl="3" w:tplc="040B0001" w:tentative="1">
      <w:start w:val="1"/>
      <w:numFmt w:val="bullet"/>
      <w:lvlText w:val=""/>
      <w:lvlJc w:val="left"/>
      <w:pPr>
        <w:ind w:left="3885" w:hanging="360"/>
      </w:pPr>
      <w:rPr>
        <w:rFonts w:ascii="Symbol" w:hAnsi="Symbol" w:hint="default"/>
      </w:rPr>
    </w:lvl>
    <w:lvl w:ilvl="4" w:tplc="040B0003" w:tentative="1">
      <w:start w:val="1"/>
      <w:numFmt w:val="bullet"/>
      <w:lvlText w:val="o"/>
      <w:lvlJc w:val="left"/>
      <w:pPr>
        <w:ind w:left="4605" w:hanging="360"/>
      </w:pPr>
      <w:rPr>
        <w:rFonts w:ascii="Courier New" w:hAnsi="Courier New" w:cs="Courier New" w:hint="default"/>
      </w:rPr>
    </w:lvl>
    <w:lvl w:ilvl="5" w:tplc="040B0005" w:tentative="1">
      <w:start w:val="1"/>
      <w:numFmt w:val="bullet"/>
      <w:lvlText w:val=""/>
      <w:lvlJc w:val="left"/>
      <w:pPr>
        <w:ind w:left="5325" w:hanging="360"/>
      </w:pPr>
      <w:rPr>
        <w:rFonts w:ascii="Wingdings" w:hAnsi="Wingdings" w:hint="default"/>
      </w:rPr>
    </w:lvl>
    <w:lvl w:ilvl="6" w:tplc="040B0001" w:tentative="1">
      <w:start w:val="1"/>
      <w:numFmt w:val="bullet"/>
      <w:lvlText w:val=""/>
      <w:lvlJc w:val="left"/>
      <w:pPr>
        <w:ind w:left="6045" w:hanging="360"/>
      </w:pPr>
      <w:rPr>
        <w:rFonts w:ascii="Symbol" w:hAnsi="Symbol" w:hint="default"/>
      </w:rPr>
    </w:lvl>
    <w:lvl w:ilvl="7" w:tplc="040B0003" w:tentative="1">
      <w:start w:val="1"/>
      <w:numFmt w:val="bullet"/>
      <w:lvlText w:val="o"/>
      <w:lvlJc w:val="left"/>
      <w:pPr>
        <w:ind w:left="6765" w:hanging="360"/>
      </w:pPr>
      <w:rPr>
        <w:rFonts w:ascii="Courier New" w:hAnsi="Courier New" w:cs="Courier New" w:hint="default"/>
      </w:rPr>
    </w:lvl>
    <w:lvl w:ilvl="8" w:tplc="040B0005" w:tentative="1">
      <w:start w:val="1"/>
      <w:numFmt w:val="bullet"/>
      <w:lvlText w:val=""/>
      <w:lvlJc w:val="left"/>
      <w:pPr>
        <w:ind w:left="7485" w:hanging="360"/>
      </w:pPr>
      <w:rPr>
        <w:rFonts w:ascii="Wingdings" w:hAnsi="Wingdings" w:hint="default"/>
      </w:rPr>
    </w:lvl>
  </w:abstractNum>
  <w:abstractNum w:abstractNumId="2" w15:restartNumberingAfterBreak="0">
    <w:nsid w:val="1C911376"/>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21FC6883"/>
    <w:multiLevelType w:val="hybridMultilevel"/>
    <w:tmpl w:val="E17C0566"/>
    <w:lvl w:ilvl="0" w:tplc="AF947480">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3FC36C1"/>
    <w:multiLevelType w:val="hybridMultilevel"/>
    <w:tmpl w:val="E0E8A502"/>
    <w:lvl w:ilvl="0" w:tplc="22EE7B10">
      <w:start w:val="6"/>
      <w:numFmt w:val="bullet"/>
      <w:lvlText w:val="-"/>
      <w:lvlJc w:val="left"/>
      <w:pPr>
        <w:ind w:left="720" w:hanging="360"/>
      </w:pPr>
      <w:rPr>
        <w:rFonts w:ascii="Calibri" w:eastAsia="Calibr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C5E457A"/>
    <w:multiLevelType w:val="hybridMultilevel"/>
    <w:tmpl w:val="3440D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E1422D"/>
    <w:multiLevelType w:val="hybridMultilevel"/>
    <w:tmpl w:val="23C6AD0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39FF37F8"/>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58E7CDD"/>
    <w:multiLevelType w:val="hybridMultilevel"/>
    <w:tmpl w:val="6AA46E4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15:restartNumberingAfterBreak="0">
    <w:nsid w:val="5EA947D1"/>
    <w:multiLevelType w:val="hybridMultilevel"/>
    <w:tmpl w:val="3D60F1D8"/>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04090005">
      <w:start w:val="1"/>
      <w:numFmt w:val="bullet"/>
      <w:lvlText w:val=""/>
      <w:lvlJc w:val="left"/>
      <w:pPr>
        <w:tabs>
          <w:tab w:val="num" w:pos="1679"/>
        </w:tabs>
        <w:ind w:left="1679"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1721446"/>
    <w:multiLevelType w:val="hybridMultilevel"/>
    <w:tmpl w:val="CF8CC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7A8050B6"/>
    <w:multiLevelType w:val="hybridMultilevel"/>
    <w:tmpl w:val="25C2F51E"/>
    <w:lvl w:ilvl="0" w:tplc="040B0001">
      <w:start w:val="1"/>
      <w:numFmt w:val="bullet"/>
      <w:lvlText w:val=""/>
      <w:lvlJc w:val="left"/>
      <w:pPr>
        <w:ind w:left="1005" w:hanging="360"/>
      </w:pPr>
      <w:rPr>
        <w:rFonts w:ascii="Symbol" w:hAnsi="Symbol" w:hint="default"/>
      </w:rPr>
    </w:lvl>
    <w:lvl w:ilvl="1" w:tplc="040B0003">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abstractNum w:abstractNumId="19" w15:restartNumberingAfterBreak="0">
    <w:nsid w:val="7FDA3467"/>
    <w:multiLevelType w:val="hybridMultilevel"/>
    <w:tmpl w:val="001A3BF0"/>
    <w:lvl w:ilvl="0" w:tplc="BD387E8C">
      <w:start w:val="1"/>
      <w:numFmt w:val="bullet"/>
      <w:lvlText w:val="•"/>
      <w:lvlJc w:val="left"/>
      <w:pPr>
        <w:tabs>
          <w:tab w:val="num" w:pos="720"/>
        </w:tabs>
        <w:ind w:left="720" w:hanging="360"/>
      </w:pPr>
      <w:rPr>
        <w:rFonts w:ascii="Arial" w:hAnsi="Arial" w:cs="Times New Roman" w:hint="default"/>
      </w:rPr>
    </w:lvl>
    <w:lvl w:ilvl="1" w:tplc="581A6B9E">
      <w:numFmt w:val="bullet"/>
      <w:lvlText w:val="•"/>
      <w:lvlJc w:val="left"/>
      <w:pPr>
        <w:tabs>
          <w:tab w:val="num" w:pos="1440"/>
        </w:tabs>
        <w:ind w:left="1440" w:hanging="360"/>
      </w:pPr>
      <w:rPr>
        <w:rFonts w:ascii="Arial" w:hAnsi="Arial" w:cs="Times New Roman" w:hint="default"/>
      </w:rPr>
    </w:lvl>
    <w:lvl w:ilvl="2" w:tplc="F0FA2D40">
      <w:numFmt w:val="bullet"/>
      <w:lvlText w:val="•"/>
      <w:lvlJc w:val="left"/>
      <w:pPr>
        <w:tabs>
          <w:tab w:val="num" w:pos="2160"/>
        </w:tabs>
        <w:ind w:left="2160" w:hanging="360"/>
      </w:pPr>
      <w:rPr>
        <w:rFonts w:ascii="Arial" w:hAnsi="Arial" w:cs="Times New Roman" w:hint="default"/>
      </w:rPr>
    </w:lvl>
    <w:lvl w:ilvl="3" w:tplc="551EF60A">
      <w:start w:val="1"/>
      <w:numFmt w:val="bullet"/>
      <w:lvlText w:val="•"/>
      <w:lvlJc w:val="left"/>
      <w:pPr>
        <w:tabs>
          <w:tab w:val="num" w:pos="2880"/>
        </w:tabs>
        <w:ind w:left="2880" w:hanging="360"/>
      </w:pPr>
      <w:rPr>
        <w:rFonts w:ascii="Arial" w:hAnsi="Arial" w:cs="Times New Roman" w:hint="default"/>
      </w:rPr>
    </w:lvl>
    <w:lvl w:ilvl="4" w:tplc="6B867E5C">
      <w:start w:val="1"/>
      <w:numFmt w:val="bullet"/>
      <w:lvlText w:val="•"/>
      <w:lvlJc w:val="left"/>
      <w:pPr>
        <w:tabs>
          <w:tab w:val="num" w:pos="3600"/>
        </w:tabs>
        <w:ind w:left="3600" w:hanging="360"/>
      </w:pPr>
      <w:rPr>
        <w:rFonts w:ascii="Arial" w:hAnsi="Arial" w:cs="Times New Roman" w:hint="default"/>
      </w:rPr>
    </w:lvl>
    <w:lvl w:ilvl="5" w:tplc="0E7E353E">
      <w:start w:val="1"/>
      <w:numFmt w:val="bullet"/>
      <w:lvlText w:val="•"/>
      <w:lvlJc w:val="left"/>
      <w:pPr>
        <w:tabs>
          <w:tab w:val="num" w:pos="4320"/>
        </w:tabs>
        <w:ind w:left="4320" w:hanging="360"/>
      </w:pPr>
      <w:rPr>
        <w:rFonts w:ascii="Arial" w:hAnsi="Arial" w:cs="Times New Roman" w:hint="default"/>
      </w:rPr>
    </w:lvl>
    <w:lvl w:ilvl="6" w:tplc="105287CE">
      <w:start w:val="1"/>
      <w:numFmt w:val="bullet"/>
      <w:lvlText w:val="•"/>
      <w:lvlJc w:val="left"/>
      <w:pPr>
        <w:tabs>
          <w:tab w:val="num" w:pos="5040"/>
        </w:tabs>
        <w:ind w:left="5040" w:hanging="360"/>
      </w:pPr>
      <w:rPr>
        <w:rFonts w:ascii="Arial" w:hAnsi="Arial" w:cs="Times New Roman" w:hint="default"/>
      </w:rPr>
    </w:lvl>
    <w:lvl w:ilvl="7" w:tplc="953E037A">
      <w:start w:val="1"/>
      <w:numFmt w:val="bullet"/>
      <w:lvlText w:val="•"/>
      <w:lvlJc w:val="left"/>
      <w:pPr>
        <w:tabs>
          <w:tab w:val="num" w:pos="5760"/>
        </w:tabs>
        <w:ind w:left="5760" w:hanging="360"/>
      </w:pPr>
      <w:rPr>
        <w:rFonts w:ascii="Arial" w:hAnsi="Arial" w:cs="Times New Roman" w:hint="default"/>
      </w:rPr>
    </w:lvl>
    <w:lvl w:ilvl="8" w:tplc="B93CEC86">
      <w:start w:val="1"/>
      <w:numFmt w:val="bullet"/>
      <w:lvlText w:val="•"/>
      <w:lvlJc w:val="left"/>
      <w:pPr>
        <w:tabs>
          <w:tab w:val="num" w:pos="6480"/>
        </w:tabs>
        <w:ind w:left="6480" w:hanging="360"/>
      </w:pPr>
      <w:rPr>
        <w:rFonts w:ascii="Arial" w:hAnsi="Arial" w:cs="Times New Roman" w:hint="default"/>
      </w:rPr>
    </w:lvl>
  </w:abstractNum>
  <w:num w:numId="1">
    <w:abstractNumId w:val="5"/>
  </w:num>
  <w:num w:numId="2">
    <w:abstractNumId w:val="17"/>
  </w:num>
  <w:num w:numId="3">
    <w:abstractNumId w:val="9"/>
  </w:num>
  <w:num w:numId="4">
    <w:abstractNumId w:val="13"/>
  </w:num>
  <w:num w:numId="5">
    <w:abstractNumId w:val="15"/>
  </w:num>
  <w:num w:numId="6">
    <w:abstractNumId w:val="16"/>
  </w:num>
  <w:num w:numId="7">
    <w:abstractNumId w:val="7"/>
  </w:num>
  <w:num w:numId="8">
    <w:abstractNumId w:val="2"/>
  </w:num>
  <w:num w:numId="9">
    <w:abstractNumId w:val="0"/>
  </w:num>
  <w:num w:numId="10">
    <w:abstractNumId w:val="10"/>
  </w:num>
  <w:num w:numId="11">
    <w:abstractNumId w:val="18"/>
  </w:num>
  <w:num w:numId="12">
    <w:abstractNumId w:val="1"/>
  </w:num>
  <w:num w:numId="13">
    <w:abstractNumId w:val="6"/>
  </w:num>
  <w:num w:numId="14">
    <w:abstractNumId w:val="12"/>
  </w:num>
  <w:num w:numId="15">
    <w:abstractNumId w:val="11"/>
  </w:num>
  <w:num w:numId="16">
    <w:abstractNumId w:val="14"/>
  </w:num>
  <w:num w:numId="17">
    <w:abstractNumId w:val="3"/>
  </w:num>
  <w:num w:numId="18">
    <w:abstractNumId w:val="8"/>
  </w:num>
  <w:num w:numId="19">
    <w:abstractNumId w:val="19"/>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00C2D"/>
    <w:rsid w:val="0000488B"/>
    <w:rsid w:val="00013683"/>
    <w:rsid w:val="000138E1"/>
    <w:rsid w:val="000146D1"/>
    <w:rsid w:val="0001566F"/>
    <w:rsid w:val="00016ABD"/>
    <w:rsid w:val="00016F62"/>
    <w:rsid w:val="00017F18"/>
    <w:rsid w:val="000450CB"/>
    <w:rsid w:val="00046F81"/>
    <w:rsid w:val="00051A7D"/>
    <w:rsid w:val="000832DA"/>
    <w:rsid w:val="00091F0B"/>
    <w:rsid w:val="000943A9"/>
    <w:rsid w:val="000A4A61"/>
    <w:rsid w:val="000A5C0F"/>
    <w:rsid w:val="000A6473"/>
    <w:rsid w:val="000A7F46"/>
    <w:rsid w:val="000B4E56"/>
    <w:rsid w:val="000B5E8E"/>
    <w:rsid w:val="000C07E1"/>
    <w:rsid w:val="000D0627"/>
    <w:rsid w:val="000D5C67"/>
    <w:rsid w:val="000D6C3A"/>
    <w:rsid w:val="000E18EC"/>
    <w:rsid w:val="000E41E5"/>
    <w:rsid w:val="000F2546"/>
    <w:rsid w:val="00101626"/>
    <w:rsid w:val="00101848"/>
    <w:rsid w:val="00113312"/>
    <w:rsid w:val="00115068"/>
    <w:rsid w:val="00131F06"/>
    <w:rsid w:val="00132FF9"/>
    <w:rsid w:val="001364A1"/>
    <w:rsid w:val="0015000E"/>
    <w:rsid w:val="00155F2D"/>
    <w:rsid w:val="0016131F"/>
    <w:rsid w:val="00162795"/>
    <w:rsid w:val="00164A53"/>
    <w:rsid w:val="00165E68"/>
    <w:rsid w:val="001678D9"/>
    <w:rsid w:val="001779BE"/>
    <w:rsid w:val="0018022D"/>
    <w:rsid w:val="001B180D"/>
    <w:rsid w:val="001B46BB"/>
    <w:rsid w:val="001B494A"/>
    <w:rsid w:val="001C3296"/>
    <w:rsid w:val="001D4627"/>
    <w:rsid w:val="001D6F67"/>
    <w:rsid w:val="001E542E"/>
    <w:rsid w:val="00205BA4"/>
    <w:rsid w:val="00210C9E"/>
    <w:rsid w:val="002127E2"/>
    <w:rsid w:val="00213D17"/>
    <w:rsid w:val="00214C87"/>
    <w:rsid w:val="00215035"/>
    <w:rsid w:val="002202BE"/>
    <w:rsid w:val="00222ADE"/>
    <w:rsid w:val="00230B20"/>
    <w:rsid w:val="0023444F"/>
    <w:rsid w:val="00236867"/>
    <w:rsid w:val="00237779"/>
    <w:rsid w:val="00237803"/>
    <w:rsid w:val="00263B3D"/>
    <w:rsid w:val="002640C9"/>
    <w:rsid w:val="00264D5C"/>
    <w:rsid w:val="00264F78"/>
    <w:rsid w:val="002725A3"/>
    <w:rsid w:val="00277EE7"/>
    <w:rsid w:val="00281158"/>
    <w:rsid w:val="00285189"/>
    <w:rsid w:val="00285EBA"/>
    <w:rsid w:val="00291DDD"/>
    <w:rsid w:val="002A7160"/>
    <w:rsid w:val="002A7181"/>
    <w:rsid w:val="002B3503"/>
    <w:rsid w:val="002B3F6F"/>
    <w:rsid w:val="002C1641"/>
    <w:rsid w:val="002C1C70"/>
    <w:rsid w:val="002D2721"/>
    <w:rsid w:val="002D6A65"/>
    <w:rsid w:val="002F0018"/>
    <w:rsid w:val="002F139F"/>
    <w:rsid w:val="002F6A38"/>
    <w:rsid w:val="002F6C06"/>
    <w:rsid w:val="00311ABA"/>
    <w:rsid w:val="003174F7"/>
    <w:rsid w:val="00317C62"/>
    <w:rsid w:val="00331CE4"/>
    <w:rsid w:val="00342D3D"/>
    <w:rsid w:val="00347DEA"/>
    <w:rsid w:val="00350DA9"/>
    <w:rsid w:val="00351332"/>
    <w:rsid w:val="0035582C"/>
    <w:rsid w:val="003613B8"/>
    <w:rsid w:val="00363074"/>
    <w:rsid w:val="00363800"/>
    <w:rsid w:val="00371259"/>
    <w:rsid w:val="00376110"/>
    <w:rsid w:val="003777FE"/>
    <w:rsid w:val="003879A9"/>
    <w:rsid w:val="0039353D"/>
    <w:rsid w:val="003A1BF2"/>
    <w:rsid w:val="003C3016"/>
    <w:rsid w:val="003D3111"/>
    <w:rsid w:val="003D5813"/>
    <w:rsid w:val="003E3122"/>
    <w:rsid w:val="003E36C3"/>
    <w:rsid w:val="003F0CBC"/>
    <w:rsid w:val="003F1982"/>
    <w:rsid w:val="004035FC"/>
    <w:rsid w:val="00404C40"/>
    <w:rsid w:val="00405E3D"/>
    <w:rsid w:val="00420E2F"/>
    <w:rsid w:val="0042109F"/>
    <w:rsid w:val="00427F57"/>
    <w:rsid w:val="0043450E"/>
    <w:rsid w:val="00447C2E"/>
    <w:rsid w:val="0045082D"/>
    <w:rsid w:val="004533DE"/>
    <w:rsid w:val="00453BA5"/>
    <w:rsid w:val="00454E53"/>
    <w:rsid w:val="004754A1"/>
    <w:rsid w:val="00482477"/>
    <w:rsid w:val="00482BAF"/>
    <w:rsid w:val="00484762"/>
    <w:rsid w:val="00491386"/>
    <w:rsid w:val="00494F18"/>
    <w:rsid w:val="00495483"/>
    <w:rsid w:val="00496414"/>
    <w:rsid w:val="004A41DA"/>
    <w:rsid w:val="004A47DD"/>
    <w:rsid w:val="004A51BA"/>
    <w:rsid w:val="004C0103"/>
    <w:rsid w:val="004C4473"/>
    <w:rsid w:val="004C58F9"/>
    <w:rsid w:val="004D0C67"/>
    <w:rsid w:val="004D36A5"/>
    <w:rsid w:val="004D3D81"/>
    <w:rsid w:val="004D4354"/>
    <w:rsid w:val="005001B2"/>
    <w:rsid w:val="00507108"/>
    <w:rsid w:val="00512C65"/>
    <w:rsid w:val="00522412"/>
    <w:rsid w:val="00527349"/>
    <w:rsid w:val="00527B86"/>
    <w:rsid w:val="00527D3E"/>
    <w:rsid w:val="005304C6"/>
    <w:rsid w:val="00530929"/>
    <w:rsid w:val="005350A9"/>
    <w:rsid w:val="00537362"/>
    <w:rsid w:val="00541E71"/>
    <w:rsid w:val="00542EA4"/>
    <w:rsid w:val="00544A0E"/>
    <w:rsid w:val="00544EA7"/>
    <w:rsid w:val="005472C5"/>
    <w:rsid w:val="00551BD8"/>
    <w:rsid w:val="0056035D"/>
    <w:rsid w:val="00560A63"/>
    <w:rsid w:val="00561673"/>
    <w:rsid w:val="00564B2E"/>
    <w:rsid w:val="00566191"/>
    <w:rsid w:val="00570B14"/>
    <w:rsid w:val="005765EE"/>
    <w:rsid w:val="0057669F"/>
    <w:rsid w:val="00581ECF"/>
    <w:rsid w:val="005A08FD"/>
    <w:rsid w:val="005A3D67"/>
    <w:rsid w:val="005A5924"/>
    <w:rsid w:val="005B2640"/>
    <w:rsid w:val="005C2EB7"/>
    <w:rsid w:val="005C3C47"/>
    <w:rsid w:val="005D0E70"/>
    <w:rsid w:val="005D0FDB"/>
    <w:rsid w:val="005D7B06"/>
    <w:rsid w:val="005E49A2"/>
    <w:rsid w:val="005F1F1C"/>
    <w:rsid w:val="005F6CE3"/>
    <w:rsid w:val="00602EB6"/>
    <w:rsid w:val="0060382B"/>
    <w:rsid w:val="006168C2"/>
    <w:rsid w:val="006235B4"/>
    <w:rsid w:val="00630341"/>
    <w:rsid w:val="00641C2E"/>
    <w:rsid w:val="00654B03"/>
    <w:rsid w:val="00662E0D"/>
    <w:rsid w:val="00663E30"/>
    <w:rsid w:val="00666120"/>
    <w:rsid w:val="00673969"/>
    <w:rsid w:val="006750A5"/>
    <w:rsid w:val="00680997"/>
    <w:rsid w:val="00692D32"/>
    <w:rsid w:val="00695026"/>
    <w:rsid w:val="006A21E1"/>
    <w:rsid w:val="006A6876"/>
    <w:rsid w:val="006B720B"/>
    <w:rsid w:val="006C16B3"/>
    <w:rsid w:val="006C6840"/>
    <w:rsid w:val="006C7482"/>
    <w:rsid w:val="006E3462"/>
    <w:rsid w:val="006F1B82"/>
    <w:rsid w:val="006F651D"/>
    <w:rsid w:val="00701131"/>
    <w:rsid w:val="0070573A"/>
    <w:rsid w:val="00710301"/>
    <w:rsid w:val="007120DD"/>
    <w:rsid w:val="007149F9"/>
    <w:rsid w:val="00720AFB"/>
    <w:rsid w:val="00721417"/>
    <w:rsid w:val="00722ED4"/>
    <w:rsid w:val="00724CD9"/>
    <w:rsid w:val="00726265"/>
    <w:rsid w:val="00734EBD"/>
    <w:rsid w:val="0073601D"/>
    <w:rsid w:val="00742892"/>
    <w:rsid w:val="00747246"/>
    <w:rsid w:val="00753982"/>
    <w:rsid w:val="00763E62"/>
    <w:rsid w:val="00770296"/>
    <w:rsid w:val="00782875"/>
    <w:rsid w:val="007A09DC"/>
    <w:rsid w:val="007A12F4"/>
    <w:rsid w:val="007A23DA"/>
    <w:rsid w:val="007C0429"/>
    <w:rsid w:val="007C33C2"/>
    <w:rsid w:val="007D20DF"/>
    <w:rsid w:val="007E79BE"/>
    <w:rsid w:val="007F7547"/>
    <w:rsid w:val="00801CCB"/>
    <w:rsid w:val="00815BA7"/>
    <w:rsid w:val="008236E4"/>
    <w:rsid w:val="00832C78"/>
    <w:rsid w:val="0084176E"/>
    <w:rsid w:val="00845E2E"/>
    <w:rsid w:val="00847F20"/>
    <w:rsid w:val="00850296"/>
    <w:rsid w:val="00853EC3"/>
    <w:rsid w:val="00866BF1"/>
    <w:rsid w:val="00870635"/>
    <w:rsid w:val="00874DB0"/>
    <w:rsid w:val="008771F4"/>
    <w:rsid w:val="008911BD"/>
    <w:rsid w:val="008922F9"/>
    <w:rsid w:val="00895ABC"/>
    <w:rsid w:val="0089736D"/>
    <w:rsid w:val="0089773D"/>
    <w:rsid w:val="008A43C6"/>
    <w:rsid w:val="008A4493"/>
    <w:rsid w:val="008A5AE8"/>
    <w:rsid w:val="008B5F74"/>
    <w:rsid w:val="008C1DA9"/>
    <w:rsid w:val="008D39F0"/>
    <w:rsid w:val="008D6E47"/>
    <w:rsid w:val="008F311C"/>
    <w:rsid w:val="008F463D"/>
    <w:rsid w:val="008F530E"/>
    <w:rsid w:val="009050E8"/>
    <w:rsid w:val="00906259"/>
    <w:rsid w:val="0091383D"/>
    <w:rsid w:val="00932D74"/>
    <w:rsid w:val="009351C4"/>
    <w:rsid w:val="00937974"/>
    <w:rsid w:val="00940559"/>
    <w:rsid w:val="00943634"/>
    <w:rsid w:val="0096038C"/>
    <w:rsid w:val="009662F1"/>
    <w:rsid w:val="009674D4"/>
    <w:rsid w:val="00977A17"/>
    <w:rsid w:val="00982464"/>
    <w:rsid w:val="00983C8F"/>
    <w:rsid w:val="0098619A"/>
    <w:rsid w:val="00996062"/>
    <w:rsid w:val="009A3979"/>
    <w:rsid w:val="009A6A8B"/>
    <w:rsid w:val="009A70AA"/>
    <w:rsid w:val="009B1E68"/>
    <w:rsid w:val="009B5DFC"/>
    <w:rsid w:val="009B7379"/>
    <w:rsid w:val="009E3B23"/>
    <w:rsid w:val="00A067D5"/>
    <w:rsid w:val="00A10A2C"/>
    <w:rsid w:val="00A10B1E"/>
    <w:rsid w:val="00A14642"/>
    <w:rsid w:val="00A15DC7"/>
    <w:rsid w:val="00A15FBF"/>
    <w:rsid w:val="00A2395F"/>
    <w:rsid w:val="00A269DA"/>
    <w:rsid w:val="00A30758"/>
    <w:rsid w:val="00A30C91"/>
    <w:rsid w:val="00A32C0C"/>
    <w:rsid w:val="00A35998"/>
    <w:rsid w:val="00A4278D"/>
    <w:rsid w:val="00A451E8"/>
    <w:rsid w:val="00A466BF"/>
    <w:rsid w:val="00A47C8B"/>
    <w:rsid w:val="00A508FF"/>
    <w:rsid w:val="00A52A3B"/>
    <w:rsid w:val="00A52B69"/>
    <w:rsid w:val="00A6018C"/>
    <w:rsid w:val="00A64564"/>
    <w:rsid w:val="00A64DE7"/>
    <w:rsid w:val="00A708BD"/>
    <w:rsid w:val="00A8390A"/>
    <w:rsid w:val="00A83A3E"/>
    <w:rsid w:val="00A94C4B"/>
    <w:rsid w:val="00A96A12"/>
    <w:rsid w:val="00A97C2D"/>
    <w:rsid w:val="00AB5402"/>
    <w:rsid w:val="00AC6D7C"/>
    <w:rsid w:val="00AD0C29"/>
    <w:rsid w:val="00AD15D4"/>
    <w:rsid w:val="00AD55F1"/>
    <w:rsid w:val="00AD71AD"/>
    <w:rsid w:val="00AE6327"/>
    <w:rsid w:val="00AF14A0"/>
    <w:rsid w:val="00B05B2F"/>
    <w:rsid w:val="00B1541B"/>
    <w:rsid w:val="00B1706D"/>
    <w:rsid w:val="00B172CC"/>
    <w:rsid w:val="00B31BAE"/>
    <w:rsid w:val="00B4385F"/>
    <w:rsid w:val="00B638DE"/>
    <w:rsid w:val="00B6504C"/>
    <w:rsid w:val="00B65B59"/>
    <w:rsid w:val="00B675CB"/>
    <w:rsid w:val="00BA3DB3"/>
    <w:rsid w:val="00BB523E"/>
    <w:rsid w:val="00BC764C"/>
    <w:rsid w:val="00BD0FF7"/>
    <w:rsid w:val="00BD3170"/>
    <w:rsid w:val="00BE140C"/>
    <w:rsid w:val="00BE1BA0"/>
    <w:rsid w:val="00BE5FB6"/>
    <w:rsid w:val="00BF4B17"/>
    <w:rsid w:val="00C14230"/>
    <w:rsid w:val="00C21554"/>
    <w:rsid w:val="00C24C90"/>
    <w:rsid w:val="00C24D31"/>
    <w:rsid w:val="00C33434"/>
    <w:rsid w:val="00C55B96"/>
    <w:rsid w:val="00C57BDA"/>
    <w:rsid w:val="00C6627F"/>
    <w:rsid w:val="00C944DE"/>
    <w:rsid w:val="00CA5455"/>
    <w:rsid w:val="00CB1708"/>
    <w:rsid w:val="00CB69B3"/>
    <w:rsid w:val="00CB7240"/>
    <w:rsid w:val="00CB768E"/>
    <w:rsid w:val="00CC3529"/>
    <w:rsid w:val="00CD4FAF"/>
    <w:rsid w:val="00CE0C6F"/>
    <w:rsid w:val="00CE6171"/>
    <w:rsid w:val="00CF183D"/>
    <w:rsid w:val="00CF249F"/>
    <w:rsid w:val="00CF4657"/>
    <w:rsid w:val="00CF5190"/>
    <w:rsid w:val="00D16EA7"/>
    <w:rsid w:val="00D23C06"/>
    <w:rsid w:val="00D26459"/>
    <w:rsid w:val="00D275CC"/>
    <w:rsid w:val="00D309FF"/>
    <w:rsid w:val="00D324A8"/>
    <w:rsid w:val="00D355D3"/>
    <w:rsid w:val="00D371FB"/>
    <w:rsid w:val="00D41CE0"/>
    <w:rsid w:val="00D54EAA"/>
    <w:rsid w:val="00D5669A"/>
    <w:rsid w:val="00D60812"/>
    <w:rsid w:val="00D62DCA"/>
    <w:rsid w:val="00D64BFF"/>
    <w:rsid w:val="00D767C4"/>
    <w:rsid w:val="00D77CF5"/>
    <w:rsid w:val="00D81CF3"/>
    <w:rsid w:val="00D83D0F"/>
    <w:rsid w:val="00D848CC"/>
    <w:rsid w:val="00D8686A"/>
    <w:rsid w:val="00D86BF8"/>
    <w:rsid w:val="00D903D5"/>
    <w:rsid w:val="00D93CF9"/>
    <w:rsid w:val="00D944B1"/>
    <w:rsid w:val="00D95179"/>
    <w:rsid w:val="00DA21EC"/>
    <w:rsid w:val="00DB3EC2"/>
    <w:rsid w:val="00DB5AD3"/>
    <w:rsid w:val="00DB78B8"/>
    <w:rsid w:val="00DC7584"/>
    <w:rsid w:val="00DD43B9"/>
    <w:rsid w:val="00DD4BA1"/>
    <w:rsid w:val="00DD6BAA"/>
    <w:rsid w:val="00DF018A"/>
    <w:rsid w:val="00DF0C0A"/>
    <w:rsid w:val="00DF16F5"/>
    <w:rsid w:val="00DF7627"/>
    <w:rsid w:val="00E00F64"/>
    <w:rsid w:val="00E010A0"/>
    <w:rsid w:val="00E01EBB"/>
    <w:rsid w:val="00E02AD5"/>
    <w:rsid w:val="00E11B6F"/>
    <w:rsid w:val="00E13DFA"/>
    <w:rsid w:val="00E21F51"/>
    <w:rsid w:val="00E2604B"/>
    <w:rsid w:val="00E3148E"/>
    <w:rsid w:val="00E32CD3"/>
    <w:rsid w:val="00E33B68"/>
    <w:rsid w:val="00E36667"/>
    <w:rsid w:val="00E37E85"/>
    <w:rsid w:val="00E46CA7"/>
    <w:rsid w:val="00E5616A"/>
    <w:rsid w:val="00E56A42"/>
    <w:rsid w:val="00E62063"/>
    <w:rsid w:val="00E62B4E"/>
    <w:rsid w:val="00E64322"/>
    <w:rsid w:val="00E90BCB"/>
    <w:rsid w:val="00E962C5"/>
    <w:rsid w:val="00EA3488"/>
    <w:rsid w:val="00EB5F7D"/>
    <w:rsid w:val="00EC589F"/>
    <w:rsid w:val="00EF103D"/>
    <w:rsid w:val="00EF4045"/>
    <w:rsid w:val="00EF6304"/>
    <w:rsid w:val="00F03666"/>
    <w:rsid w:val="00F07FB1"/>
    <w:rsid w:val="00F173C9"/>
    <w:rsid w:val="00F21216"/>
    <w:rsid w:val="00F26C2D"/>
    <w:rsid w:val="00F32200"/>
    <w:rsid w:val="00F374CF"/>
    <w:rsid w:val="00F40AF9"/>
    <w:rsid w:val="00F47649"/>
    <w:rsid w:val="00F51367"/>
    <w:rsid w:val="00F55BB5"/>
    <w:rsid w:val="00F65437"/>
    <w:rsid w:val="00F67501"/>
    <w:rsid w:val="00F8280F"/>
    <w:rsid w:val="00F82A23"/>
    <w:rsid w:val="00F832DE"/>
    <w:rsid w:val="00F855E2"/>
    <w:rsid w:val="00F95D75"/>
    <w:rsid w:val="00F96BF4"/>
    <w:rsid w:val="00F974FD"/>
    <w:rsid w:val="00F97D64"/>
    <w:rsid w:val="00FA111D"/>
    <w:rsid w:val="00FA2A7B"/>
    <w:rsid w:val="00FA3D30"/>
    <w:rsid w:val="00FA66CB"/>
    <w:rsid w:val="00FB47A3"/>
    <w:rsid w:val="00FB4E75"/>
    <w:rsid w:val="00FB7D23"/>
    <w:rsid w:val="00FC75E4"/>
    <w:rsid w:val="00FC7CFA"/>
    <w:rsid w:val="00FD085A"/>
    <w:rsid w:val="00FD543C"/>
    <w:rsid w:val="00FE3848"/>
    <w:rsid w:val="00FF5007"/>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3408D"/>
  <w15:chartTrackingRefBased/>
  <w15:docId w15:val="{CF04BEE3-8016-42D4-9376-A502F4B35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F018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DF01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DF018A"/>
    <w:pPr>
      <w:pBdr>
        <w:top w:val="none" w:sz="0" w:space="0" w:color="auto"/>
      </w:pBdr>
      <w:spacing w:before="180"/>
      <w:outlineLvl w:val="1"/>
    </w:pPr>
    <w:rPr>
      <w:sz w:val="32"/>
    </w:rPr>
  </w:style>
  <w:style w:type="paragraph" w:styleId="Heading3">
    <w:name w:val="heading 3"/>
    <w:basedOn w:val="Heading2"/>
    <w:next w:val="Normal"/>
    <w:qFormat/>
    <w:rsid w:val="00DF018A"/>
    <w:pPr>
      <w:spacing w:before="120"/>
      <w:outlineLvl w:val="2"/>
    </w:pPr>
    <w:rPr>
      <w:sz w:val="28"/>
    </w:rPr>
  </w:style>
  <w:style w:type="paragraph" w:styleId="Heading4">
    <w:name w:val="heading 4"/>
    <w:basedOn w:val="Heading3"/>
    <w:next w:val="Normal"/>
    <w:qFormat/>
    <w:rsid w:val="00DF018A"/>
    <w:pPr>
      <w:ind w:left="1418" w:hanging="1418"/>
      <w:outlineLvl w:val="3"/>
    </w:pPr>
    <w:rPr>
      <w:sz w:val="24"/>
    </w:rPr>
  </w:style>
  <w:style w:type="paragraph" w:styleId="Heading5">
    <w:name w:val="heading 5"/>
    <w:basedOn w:val="Heading4"/>
    <w:next w:val="Normal"/>
    <w:qFormat/>
    <w:rsid w:val="00DF018A"/>
    <w:pPr>
      <w:ind w:left="1701" w:hanging="1701"/>
      <w:outlineLvl w:val="4"/>
    </w:pPr>
    <w:rPr>
      <w:sz w:val="22"/>
    </w:rPr>
  </w:style>
  <w:style w:type="paragraph" w:styleId="Heading6">
    <w:name w:val="heading 6"/>
    <w:basedOn w:val="H6"/>
    <w:next w:val="Normal"/>
    <w:qFormat/>
    <w:rsid w:val="00DF018A"/>
    <w:pPr>
      <w:outlineLvl w:val="5"/>
    </w:pPr>
  </w:style>
  <w:style w:type="paragraph" w:styleId="Heading7">
    <w:name w:val="heading 7"/>
    <w:basedOn w:val="H6"/>
    <w:next w:val="Normal"/>
    <w:qFormat/>
    <w:rsid w:val="00DF018A"/>
    <w:pPr>
      <w:outlineLvl w:val="6"/>
    </w:pPr>
  </w:style>
  <w:style w:type="paragraph" w:styleId="Heading8">
    <w:name w:val="heading 8"/>
    <w:basedOn w:val="Heading1"/>
    <w:next w:val="Normal"/>
    <w:qFormat/>
    <w:rsid w:val="00DF018A"/>
    <w:pPr>
      <w:ind w:left="0" w:firstLine="0"/>
      <w:outlineLvl w:val="7"/>
    </w:pPr>
  </w:style>
  <w:style w:type="paragraph" w:styleId="Heading9">
    <w:name w:val="heading 9"/>
    <w:basedOn w:val="Heading8"/>
    <w:next w:val="Normal"/>
    <w:qFormat/>
    <w:rsid w:val="00DF01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F018A"/>
    <w:pPr>
      <w:spacing w:before="180"/>
      <w:ind w:left="2693" w:hanging="2693"/>
    </w:pPr>
    <w:rPr>
      <w:b/>
    </w:rPr>
  </w:style>
  <w:style w:type="paragraph" w:styleId="TOC1">
    <w:name w:val="toc 1"/>
    <w:semiHidden/>
    <w:rsid w:val="00DF01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F01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F018A"/>
    <w:pPr>
      <w:ind w:left="1701" w:hanging="1701"/>
    </w:pPr>
  </w:style>
  <w:style w:type="paragraph" w:styleId="TOC4">
    <w:name w:val="toc 4"/>
    <w:basedOn w:val="TOC3"/>
    <w:semiHidden/>
    <w:rsid w:val="00DF018A"/>
    <w:pPr>
      <w:ind w:left="1418" w:hanging="1418"/>
    </w:pPr>
  </w:style>
  <w:style w:type="paragraph" w:styleId="TOC3">
    <w:name w:val="toc 3"/>
    <w:basedOn w:val="TOC2"/>
    <w:semiHidden/>
    <w:rsid w:val="00DF018A"/>
    <w:pPr>
      <w:ind w:left="1134" w:hanging="1134"/>
    </w:pPr>
  </w:style>
  <w:style w:type="paragraph" w:styleId="TOC2">
    <w:name w:val="toc 2"/>
    <w:basedOn w:val="TOC1"/>
    <w:semiHidden/>
    <w:rsid w:val="00DF018A"/>
    <w:pPr>
      <w:keepNext w:val="0"/>
      <w:spacing w:before="0"/>
      <w:ind w:left="851" w:hanging="851"/>
    </w:pPr>
    <w:rPr>
      <w:sz w:val="20"/>
    </w:rPr>
  </w:style>
  <w:style w:type="paragraph" w:styleId="Index2">
    <w:name w:val="index 2"/>
    <w:basedOn w:val="Index1"/>
    <w:semiHidden/>
    <w:rsid w:val="00DF018A"/>
    <w:pPr>
      <w:ind w:left="284"/>
    </w:pPr>
  </w:style>
  <w:style w:type="paragraph" w:styleId="Index1">
    <w:name w:val="index 1"/>
    <w:basedOn w:val="Normal"/>
    <w:semiHidden/>
    <w:rsid w:val="00DF018A"/>
    <w:pPr>
      <w:keepLines/>
      <w:spacing w:after="0"/>
    </w:pPr>
  </w:style>
  <w:style w:type="paragraph" w:customStyle="1" w:styleId="ZH">
    <w:name w:val="ZH"/>
    <w:rsid w:val="00DF018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F018A"/>
    <w:pPr>
      <w:outlineLvl w:val="9"/>
    </w:pPr>
  </w:style>
  <w:style w:type="paragraph" w:styleId="ListNumber2">
    <w:name w:val="List Number 2"/>
    <w:basedOn w:val="ListNumber"/>
    <w:semiHidden/>
    <w:rsid w:val="00DF018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F018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F018A"/>
    <w:rPr>
      <w:b/>
      <w:position w:val="6"/>
      <w:sz w:val="16"/>
    </w:rPr>
  </w:style>
  <w:style w:type="paragraph" w:styleId="FootnoteText">
    <w:name w:val="footnote text"/>
    <w:basedOn w:val="Normal"/>
    <w:semiHidden/>
    <w:rsid w:val="00DF018A"/>
    <w:pPr>
      <w:keepLines/>
      <w:spacing w:after="0"/>
      <w:ind w:left="454" w:hanging="454"/>
    </w:pPr>
    <w:rPr>
      <w:sz w:val="16"/>
    </w:rPr>
  </w:style>
  <w:style w:type="paragraph" w:customStyle="1" w:styleId="TAH">
    <w:name w:val="TAH"/>
    <w:basedOn w:val="TAC"/>
    <w:link w:val="TAHCar"/>
    <w:uiPriority w:val="99"/>
    <w:qFormat/>
    <w:rsid w:val="00DF018A"/>
    <w:rPr>
      <w:b/>
    </w:rPr>
  </w:style>
  <w:style w:type="paragraph" w:customStyle="1" w:styleId="TAC">
    <w:name w:val="TAC"/>
    <w:basedOn w:val="TAL"/>
    <w:link w:val="TACChar"/>
    <w:qFormat/>
    <w:rsid w:val="00DF018A"/>
    <w:pPr>
      <w:jc w:val="center"/>
    </w:pPr>
  </w:style>
  <w:style w:type="paragraph" w:customStyle="1" w:styleId="TF">
    <w:name w:val="TF"/>
    <w:basedOn w:val="TH"/>
    <w:rsid w:val="00DF018A"/>
    <w:pPr>
      <w:keepNext w:val="0"/>
      <w:spacing w:before="0" w:after="240"/>
    </w:pPr>
  </w:style>
  <w:style w:type="paragraph" w:customStyle="1" w:styleId="NO">
    <w:name w:val="NO"/>
    <w:basedOn w:val="Normal"/>
    <w:rsid w:val="00DF018A"/>
    <w:pPr>
      <w:keepLines/>
      <w:ind w:left="1135" w:hanging="851"/>
    </w:pPr>
  </w:style>
  <w:style w:type="paragraph" w:styleId="TOC9">
    <w:name w:val="toc 9"/>
    <w:basedOn w:val="TOC8"/>
    <w:semiHidden/>
    <w:rsid w:val="00DF018A"/>
    <w:pPr>
      <w:ind w:left="1418" w:hanging="1418"/>
    </w:pPr>
  </w:style>
  <w:style w:type="paragraph" w:customStyle="1" w:styleId="EX">
    <w:name w:val="EX"/>
    <w:basedOn w:val="Normal"/>
    <w:rsid w:val="00DF018A"/>
    <w:pPr>
      <w:keepLines/>
      <w:ind w:left="1702" w:hanging="1418"/>
    </w:pPr>
  </w:style>
  <w:style w:type="paragraph" w:customStyle="1" w:styleId="FP">
    <w:name w:val="FP"/>
    <w:basedOn w:val="Normal"/>
    <w:rsid w:val="00DF018A"/>
    <w:pPr>
      <w:spacing w:after="0"/>
    </w:pPr>
  </w:style>
  <w:style w:type="paragraph" w:customStyle="1" w:styleId="LD">
    <w:name w:val="LD"/>
    <w:rsid w:val="00DF018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F018A"/>
    <w:pPr>
      <w:spacing w:after="0"/>
    </w:pPr>
  </w:style>
  <w:style w:type="paragraph" w:customStyle="1" w:styleId="EW">
    <w:name w:val="EW"/>
    <w:basedOn w:val="EX"/>
    <w:rsid w:val="00DF018A"/>
    <w:pPr>
      <w:spacing w:after="0"/>
    </w:pPr>
  </w:style>
  <w:style w:type="paragraph" w:styleId="TOC6">
    <w:name w:val="toc 6"/>
    <w:basedOn w:val="TOC5"/>
    <w:next w:val="Normal"/>
    <w:semiHidden/>
    <w:rsid w:val="00DF018A"/>
    <w:pPr>
      <w:ind w:left="1985" w:hanging="1985"/>
    </w:pPr>
  </w:style>
  <w:style w:type="paragraph" w:styleId="TOC7">
    <w:name w:val="toc 7"/>
    <w:basedOn w:val="TOC6"/>
    <w:next w:val="Normal"/>
    <w:semiHidden/>
    <w:rsid w:val="00DF018A"/>
    <w:pPr>
      <w:ind w:left="2268" w:hanging="2268"/>
    </w:pPr>
  </w:style>
  <w:style w:type="paragraph" w:styleId="ListBullet2">
    <w:name w:val="List Bullet 2"/>
    <w:basedOn w:val="ListBullet"/>
    <w:semiHidden/>
    <w:rsid w:val="00DF018A"/>
    <w:pPr>
      <w:ind w:left="851"/>
    </w:pPr>
  </w:style>
  <w:style w:type="paragraph" w:styleId="ListBullet3">
    <w:name w:val="List Bullet 3"/>
    <w:basedOn w:val="ListBullet2"/>
    <w:semiHidden/>
    <w:rsid w:val="00DF018A"/>
    <w:pPr>
      <w:ind w:left="1135"/>
    </w:pPr>
  </w:style>
  <w:style w:type="paragraph" w:styleId="ListNumber">
    <w:name w:val="List Number"/>
    <w:basedOn w:val="List"/>
    <w:semiHidden/>
    <w:rsid w:val="00DF018A"/>
  </w:style>
  <w:style w:type="paragraph" w:customStyle="1" w:styleId="EQ">
    <w:name w:val="EQ"/>
    <w:basedOn w:val="Normal"/>
    <w:next w:val="Normal"/>
    <w:rsid w:val="00DF018A"/>
    <w:pPr>
      <w:keepLines/>
      <w:tabs>
        <w:tab w:val="center" w:pos="4536"/>
        <w:tab w:val="right" w:pos="9072"/>
      </w:tabs>
    </w:pPr>
    <w:rPr>
      <w:noProof/>
    </w:rPr>
  </w:style>
  <w:style w:type="paragraph" w:customStyle="1" w:styleId="TH">
    <w:name w:val="TH"/>
    <w:basedOn w:val="Normal"/>
    <w:link w:val="THChar"/>
    <w:qFormat/>
    <w:rsid w:val="00DF018A"/>
    <w:pPr>
      <w:keepNext/>
      <w:keepLines/>
      <w:spacing w:before="60"/>
      <w:jc w:val="center"/>
    </w:pPr>
    <w:rPr>
      <w:rFonts w:ascii="Arial" w:hAnsi="Arial"/>
      <w:b/>
    </w:rPr>
  </w:style>
  <w:style w:type="paragraph" w:customStyle="1" w:styleId="NF">
    <w:name w:val="NF"/>
    <w:basedOn w:val="NO"/>
    <w:rsid w:val="00DF018A"/>
    <w:pPr>
      <w:keepNext/>
      <w:spacing w:after="0"/>
    </w:pPr>
    <w:rPr>
      <w:rFonts w:ascii="Arial" w:hAnsi="Arial"/>
      <w:sz w:val="18"/>
    </w:rPr>
  </w:style>
  <w:style w:type="paragraph" w:customStyle="1" w:styleId="PL">
    <w:name w:val="PL"/>
    <w:rsid w:val="00DF01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F018A"/>
    <w:pPr>
      <w:jc w:val="right"/>
    </w:pPr>
  </w:style>
  <w:style w:type="paragraph" w:customStyle="1" w:styleId="H6">
    <w:name w:val="H6"/>
    <w:basedOn w:val="Heading5"/>
    <w:next w:val="Normal"/>
    <w:rsid w:val="00DF018A"/>
    <w:pPr>
      <w:ind w:left="1985" w:hanging="1985"/>
      <w:outlineLvl w:val="9"/>
    </w:pPr>
    <w:rPr>
      <w:sz w:val="20"/>
    </w:rPr>
  </w:style>
  <w:style w:type="paragraph" w:customStyle="1" w:styleId="TAN">
    <w:name w:val="TAN"/>
    <w:basedOn w:val="TAL"/>
    <w:link w:val="TANChar"/>
    <w:qFormat/>
    <w:rsid w:val="00DF018A"/>
    <w:pPr>
      <w:ind w:left="851" w:hanging="851"/>
    </w:pPr>
  </w:style>
  <w:style w:type="paragraph" w:customStyle="1" w:styleId="TAL">
    <w:name w:val="TAL"/>
    <w:basedOn w:val="Normal"/>
    <w:link w:val="TALChar"/>
    <w:qFormat/>
    <w:rsid w:val="00DF018A"/>
    <w:pPr>
      <w:keepNext/>
      <w:keepLines/>
      <w:spacing w:after="0"/>
    </w:pPr>
    <w:rPr>
      <w:rFonts w:ascii="Arial" w:hAnsi="Arial"/>
      <w:sz w:val="18"/>
    </w:rPr>
  </w:style>
  <w:style w:type="paragraph" w:customStyle="1" w:styleId="ZA">
    <w:name w:val="ZA"/>
    <w:rsid w:val="00DF01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F01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F018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F01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F018A"/>
    <w:pPr>
      <w:framePr w:wrap="notBeside" w:y="16161"/>
    </w:pPr>
  </w:style>
  <w:style w:type="character" w:customStyle="1" w:styleId="ZGSM">
    <w:name w:val="ZGSM"/>
    <w:rsid w:val="00DF018A"/>
  </w:style>
  <w:style w:type="paragraph" w:styleId="List2">
    <w:name w:val="List 2"/>
    <w:basedOn w:val="List"/>
    <w:semiHidden/>
    <w:rsid w:val="00DF018A"/>
    <w:pPr>
      <w:ind w:left="851"/>
    </w:pPr>
  </w:style>
  <w:style w:type="paragraph" w:customStyle="1" w:styleId="ZG">
    <w:name w:val="ZG"/>
    <w:rsid w:val="00DF018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DF018A"/>
    <w:pPr>
      <w:ind w:left="1135"/>
    </w:pPr>
  </w:style>
  <w:style w:type="paragraph" w:styleId="List4">
    <w:name w:val="List 4"/>
    <w:basedOn w:val="List3"/>
    <w:semiHidden/>
    <w:rsid w:val="00DF018A"/>
    <w:pPr>
      <w:ind w:left="1418"/>
    </w:pPr>
  </w:style>
  <w:style w:type="paragraph" w:styleId="List5">
    <w:name w:val="List 5"/>
    <w:basedOn w:val="List4"/>
    <w:semiHidden/>
    <w:rsid w:val="00DF018A"/>
    <w:pPr>
      <w:ind w:left="1702"/>
    </w:pPr>
  </w:style>
  <w:style w:type="paragraph" w:customStyle="1" w:styleId="EditorsNote">
    <w:name w:val="Editor's Note"/>
    <w:basedOn w:val="NO"/>
    <w:rsid w:val="00DF018A"/>
    <w:rPr>
      <w:color w:val="FF0000"/>
    </w:rPr>
  </w:style>
  <w:style w:type="paragraph" w:styleId="List">
    <w:name w:val="List"/>
    <w:basedOn w:val="Normal"/>
    <w:semiHidden/>
    <w:rsid w:val="00DF018A"/>
    <w:pPr>
      <w:ind w:left="568" w:hanging="284"/>
    </w:pPr>
  </w:style>
  <w:style w:type="paragraph" w:styleId="ListBullet">
    <w:name w:val="List Bullet"/>
    <w:basedOn w:val="List"/>
    <w:semiHidden/>
    <w:rsid w:val="00DF018A"/>
  </w:style>
  <w:style w:type="paragraph" w:styleId="ListBullet4">
    <w:name w:val="List Bullet 4"/>
    <w:basedOn w:val="ListBullet3"/>
    <w:semiHidden/>
    <w:rsid w:val="00DF018A"/>
    <w:pPr>
      <w:ind w:left="1418"/>
    </w:pPr>
  </w:style>
  <w:style w:type="paragraph" w:styleId="ListBullet5">
    <w:name w:val="List Bullet 5"/>
    <w:basedOn w:val="ListBullet4"/>
    <w:semiHidden/>
    <w:rsid w:val="00DF018A"/>
    <w:pPr>
      <w:ind w:left="1702"/>
    </w:pPr>
  </w:style>
  <w:style w:type="paragraph" w:customStyle="1" w:styleId="B1">
    <w:name w:val="B1"/>
    <w:basedOn w:val="List"/>
    <w:link w:val="B1Char"/>
    <w:qFormat/>
    <w:rsid w:val="00DF018A"/>
  </w:style>
  <w:style w:type="paragraph" w:customStyle="1" w:styleId="B2">
    <w:name w:val="B2"/>
    <w:basedOn w:val="List2"/>
    <w:rsid w:val="00DF018A"/>
  </w:style>
  <w:style w:type="paragraph" w:customStyle="1" w:styleId="B3">
    <w:name w:val="B3"/>
    <w:basedOn w:val="List3"/>
    <w:rsid w:val="00DF018A"/>
  </w:style>
  <w:style w:type="paragraph" w:customStyle="1" w:styleId="B4">
    <w:name w:val="B4"/>
    <w:basedOn w:val="List4"/>
    <w:rsid w:val="00DF018A"/>
  </w:style>
  <w:style w:type="paragraph" w:customStyle="1" w:styleId="B5">
    <w:name w:val="B5"/>
    <w:basedOn w:val="List5"/>
    <w:rsid w:val="00DF018A"/>
  </w:style>
  <w:style w:type="paragraph" w:styleId="Footer">
    <w:name w:val="footer"/>
    <w:basedOn w:val="Header"/>
    <w:rsid w:val="00DF018A"/>
    <w:pPr>
      <w:jc w:val="center"/>
    </w:pPr>
    <w:rPr>
      <w:i/>
    </w:rPr>
  </w:style>
  <w:style w:type="paragraph" w:customStyle="1" w:styleId="ZTD">
    <w:name w:val="ZTD"/>
    <w:basedOn w:val="ZB"/>
    <w:rsid w:val="00DF018A"/>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uiPriority w:val="99"/>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aliases w:val="- Bullets,목록 단락,?? ??,?????,????,Lista1,列出段落1,中等深浅网格 1 - 着色 21,列出段落,列表段落,リスト段落,¥¡¡¡¡ì¬º¥¹¥È¶ÎÂä,ÁÐ³ö¶ÎÂä,列表段落1,—ño’i—Ž,¥ê¥¹¥È¶ÎÂä,1st level - Bullet List Paragraph,Lettre d'introduction,Paragrafo elenco,Normal bullet 2,Bullet list,목록단락"/>
    <w:basedOn w:val="Normal"/>
    <w:link w:val="ListParagraphChar"/>
    <w:uiPriority w:val="34"/>
    <w:qFormat/>
    <w:rsid w:val="00D767C4"/>
    <w:pPr>
      <w:ind w:left="720"/>
      <w:contextualSpacing/>
    </w:pPr>
  </w:style>
  <w:style w:type="paragraph" w:customStyle="1" w:styleId="Default">
    <w:name w:val="Default"/>
    <w:basedOn w:val="Normal"/>
    <w:rsid w:val="001C3296"/>
    <w:pPr>
      <w:overflowPunct/>
      <w:adjustRightInd/>
      <w:spacing w:after="0"/>
      <w:textAlignment w:val="auto"/>
    </w:pPr>
    <w:rPr>
      <w:rFonts w:eastAsiaTheme="minorHAnsi"/>
      <w:color w:val="000000"/>
      <w:sz w:val="24"/>
      <w:szCs w:val="24"/>
      <w:lang w:val="fi-FI" w:eastAsia="fi-FI"/>
    </w:rPr>
  </w:style>
  <w:style w:type="character" w:customStyle="1" w:styleId="THChar">
    <w:name w:val="TH Char"/>
    <w:link w:val="TH"/>
    <w:qFormat/>
    <w:rsid w:val="00C24C90"/>
    <w:rPr>
      <w:rFonts w:ascii="Arial" w:hAnsi="Arial"/>
      <w:b/>
      <w:lang w:val="en-GB" w:eastAsia="en-US"/>
    </w:rPr>
  </w:style>
  <w:style w:type="character" w:customStyle="1" w:styleId="TANChar">
    <w:name w:val="TAN Char"/>
    <w:link w:val="TAN"/>
    <w:qFormat/>
    <w:rsid w:val="00C24C90"/>
    <w:rPr>
      <w:rFonts w:ascii="Arial" w:hAnsi="Arial"/>
      <w:sz w:val="18"/>
      <w:lang w:val="en-GB" w:eastAsia="en-US"/>
    </w:rPr>
  </w:style>
  <w:style w:type="paragraph" w:customStyle="1" w:styleId="a">
    <w:name w:val="样式 页眉"/>
    <w:basedOn w:val="Header"/>
    <w:link w:val="Char"/>
    <w:rsid w:val="009674D4"/>
    <w:rPr>
      <w:rFonts w:eastAsia="Arial"/>
      <w:bCs/>
      <w:sz w:val="22"/>
      <w:lang w:val="en-GB"/>
    </w:rPr>
  </w:style>
  <w:style w:type="character" w:customStyle="1" w:styleId="Char">
    <w:name w:val="样式 页眉 Char"/>
    <w:link w:val="a"/>
    <w:rsid w:val="009674D4"/>
    <w:rPr>
      <w:rFonts w:ascii="Arial" w:eastAsia="Arial" w:hAnsi="Arial"/>
      <w:b/>
      <w:bCs/>
      <w:noProof/>
      <w:sz w:val="22"/>
      <w:lang w:val="en-GB" w:eastAsia="en-US"/>
    </w:rPr>
  </w:style>
  <w:style w:type="table" w:styleId="TableGrid">
    <w:name w:val="Table Grid"/>
    <w:basedOn w:val="TableNormal"/>
    <w:uiPriority w:val="59"/>
    <w:rsid w:val="00E13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A5455"/>
    <w:rPr>
      <w:sz w:val="24"/>
      <w:szCs w:val="24"/>
    </w:rPr>
  </w:style>
  <w:style w:type="character" w:customStyle="1" w:styleId="TALChar">
    <w:name w:val="TAL Char"/>
    <w:link w:val="TAL"/>
    <w:rsid w:val="00A64564"/>
    <w:rPr>
      <w:rFonts w:ascii="Arial" w:hAnsi="Arial"/>
      <w:sz w:val="18"/>
      <w:lang w:val="en-GB" w:eastAsia="en-US"/>
    </w:rPr>
  </w:style>
  <w:style w:type="character" w:customStyle="1" w:styleId="B1Char">
    <w:name w:val="B1 Char"/>
    <w:link w:val="B1"/>
    <w:qFormat/>
    <w:locked/>
    <w:rsid w:val="006750A5"/>
    <w:rPr>
      <w:rFonts w:ascii="Times New Roman" w:hAnsi="Times New Roman"/>
      <w:lang w:val="en-GB" w:eastAsia="en-US"/>
    </w:rPr>
  </w:style>
  <w:style w:type="character" w:customStyle="1" w:styleId="ListParagraphChar">
    <w:name w:val="List Paragraph Char"/>
    <w:aliases w:val="- Bullets Char,목록 단락 Char,?? ?? Char,????? Char,???? Char,Lista1 Char,列出段落1 Char,中等深浅网格 1 - 着色 21 Char,列出段落 Char,列表段落 Char,リスト段落 Char,¥¡¡¡¡ì¬º¥¹¥È¶ÎÂä Char,ÁÐ³ö¶ÎÂä Char,列表段落1 Char,—ño’i—Ž Char,¥ê¥¹¥È¶ÎÂä Char,Paragrafo elenco Char"/>
    <w:link w:val="ListParagraph"/>
    <w:uiPriority w:val="34"/>
    <w:qFormat/>
    <w:rsid w:val="00D309FF"/>
    <w:rPr>
      <w:rFonts w:ascii="Times New Roman" w:hAnsi="Times New Roman"/>
      <w:lang w:val="en-GB" w:eastAsia="en-US"/>
    </w:rPr>
  </w:style>
  <w:style w:type="paragraph" w:customStyle="1" w:styleId="11BodyText">
    <w:name w:val="11 BodyText"/>
    <w:basedOn w:val="Normal"/>
    <w:link w:val="11BodyTextChar"/>
    <w:rsid w:val="00236867"/>
    <w:pPr>
      <w:overflowPunct/>
      <w:autoSpaceDE/>
      <w:autoSpaceDN/>
      <w:adjustRightInd/>
      <w:spacing w:after="220"/>
      <w:ind w:left="1298"/>
      <w:textAlignment w:val="auto"/>
    </w:pPr>
    <w:rPr>
      <w:rFonts w:ascii="Arial" w:hAnsi="Arial"/>
      <w:lang w:val="en-US" w:eastAsia="x-none"/>
    </w:rPr>
  </w:style>
  <w:style w:type="character" w:customStyle="1" w:styleId="11BodyTextChar">
    <w:name w:val="11 BodyText Char"/>
    <w:link w:val="11BodyText"/>
    <w:rsid w:val="00236867"/>
    <w:rPr>
      <w:rFonts w:ascii="Arial" w:hAnsi="Arial"/>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412048343">
      <w:bodyDiv w:val="1"/>
      <w:marLeft w:val="0"/>
      <w:marRight w:val="0"/>
      <w:marTop w:val="0"/>
      <w:marBottom w:val="0"/>
      <w:divBdr>
        <w:top w:val="none" w:sz="0" w:space="0" w:color="auto"/>
        <w:left w:val="none" w:sz="0" w:space="0" w:color="auto"/>
        <w:bottom w:val="none" w:sz="0" w:space="0" w:color="auto"/>
        <w:right w:val="none" w:sz="0" w:space="0" w:color="auto"/>
      </w:divBdr>
    </w:div>
    <w:div w:id="427431456">
      <w:bodyDiv w:val="1"/>
      <w:marLeft w:val="0"/>
      <w:marRight w:val="0"/>
      <w:marTop w:val="0"/>
      <w:marBottom w:val="0"/>
      <w:divBdr>
        <w:top w:val="none" w:sz="0" w:space="0" w:color="auto"/>
        <w:left w:val="none" w:sz="0" w:space="0" w:color="auto"/>
        <w:bottom w:val="none" w:sz="0" w:space="0" w:color="auto"/>
        <w:right w:val="none" w:sz="0" w:space="0" w:color="auto"/>
      </w:divBdr>
    </w:div>
    <w:div w:id="441193836">
      <w:bodyDiv w:val="1"/>
      <w:marLeft w:val="0"/>
      <w:marRight w:val="0"/>
      <w:marTop w:val="0"/>
      <w:marBottom w:val="0"/>
      <w:divBdr>
        <w:top w:val="none" w:sz="0" w:space="0" w:color="auto"/>
        <w:left w:val="none" w:sz="0" w:space="0" w:color="auto"/>
        <w:bottom w:val="none" w:sz="0" w:space="0" w:color="auto"/>
        <w:right w:val="none" w:sz="0" w:space="0" w:color="auto"/>
      </w:divBdr>
    </w:div>
    <w:div w:id="546184593">
      <w:bodyDiv w:val="1"/>
      <w:marLeft w:val="0"/>
      <w:marRight w:val="0"/>
      <w:marTop w:val="0"/>
      <w:marBottom w:val="0"/>
      <w:divBdr>
        <w:top w:val="none" w:sz="0" w:space="0" w:color="auto"/>
        <w:left w:val="none" w:sz="0" w:space="0" w:color="auto"/>
        <w:bottom w:val="none" w:sz="0" w:space="0" w:color="auto"/>
        <w:right w:val="none" w:sz="0" w:space="0" w:color="auto"/>
      </w:divBdr>
    </w:div>
    <w:div w:id="560137159">
      <w:bodyDiv w:val="1"/>
      <w:marLeft w:val="0"/>
      <w:marRight w:val="0"/>
      <w:marTop w:val="0"/>
      <w:marBottom w:val="0"/>
      <w:divBdr>
        <w:top w:val="none" w:sz="0" w:space="0" w:color="auto"/>
        <w:left w:val="none" w:sz="0" w:space="0" w:color="auto"/>
        <w:bottom w:val="none" w:sz="0" w:space="0" w:color="auto"/>
        <w:right w:val="none" w:sz="0" w:space="0" w:color="auto"/>
      </w:divBdr>
    </w:div>
    <w:div w:id="850409841">
      <w:bodyDiv w:val="1"/>
      <w:marLeft w:val="0"/>
      <w:marRight w:val="0"/>
      <w:marTop w:val="0"/>
      <w:marBottom w:val="0"/>
      <w:divBdr>
        <w:top w:val="none" w:sz="0" w:space="0" w:color="auto"/>
        <w:left w:val="none" w:sz="0" w:space="0" w:color="auto"/>
        <w:bottom w:val="none" w:sz="0" w:space="0" w:color="auto"/>
        <w:right w:val="none" w:sz="0" w:space="0" w:color="auto"/>
      </w:divBdr>
    </w:div>
    <w:div w:id="1065445647">
      <w:bodyDiv w:val="1"/>
      <w:marLeft w:val="0"/>
      <w:marRight w:val="0"/>
      <w:marTop w:val="0"/>
      <w:marBottom w:val="0"/>
      <w:divBdr>
        <w:top w:val="none" w:sz="0" w:space="0" w:color="auto"/>
        <w:left w:val="none" w:sz="0" w:space="0" w:color="auto"/>
        <w:bottom w:val="none" w:sz="0" w:space="0" w:color="auto"/>
        <w:right w:val="none" w:sz="0" w:space="0" w:color="auto"/>
      </w:divBdr>
    </w:div>
    <w:div w:id="1069040473">
      <w:bodyDiv w:val="1"/>
      <w:marLeft w:val="0"/>
      <w:marRight w:val="0"/>
      <w:marTop w:val="0"/>
      <w:marBottom w:val="0"/>
      <w:divBdr>
        <w:top w:val="none" w:sz="0" w:space="0" w:color="auto"/>
        <w:left w:val="none" w:sz="0" w:space="0" w:color="auto"/>
        <w:bottom w:val="none" w:sz="0" w:space="0" w:color="auto"/>
        <w:right w:val="none" w:sz="0" w:space="0" w:color="auto"/>
      </w:divBdr>
    </w:div>
    <w:div w:id="1378898601">
      <w:bodyDiv w:val="1"/>
      <w:marLeft w:val="0"/>
      <w:marRight w:val="0"/>
      <w:marTop w:val="0"/>
      <w:marBottom w:val="0"/>
      <w:divBdr>
        <w:top w:val="none" w:sz="0" w:space="0" w:color="auto"/>
        <w:left w:val="none" w:sz="0" w:space="0" w:color="auto"/>
        <w:bottom w:val="none" w:sz="0" w:space="0" w:color="auto"/>
        <w:right w:val="none" w:sz="0" w:space="0" w:color="auto"/>
      </w:divBdr>
    </w:div>
    <w:div w:id="1547765201">
      <w:bodyDiv w:val="1"/>
      <w:marLeft w:val="0"/>
      <w:marRight w:val="0"/>
      <w:marTop w:val="0"/>
      <w:marBottom w:val="0"/>
      <w:divBdr>
        <w:top w:val="none" w:sz="0" w:space="0" w:color="auto"/>
        <w:left w:val="none" w:sz="0" w:space="0" w:color="auto"/>
        <w:bottom w:val="none" w:sz="0" w:space="0" w:color="auto"/>
        <w:right w:val="none" w:sz="0" w:space="0" w:color="auto"/>
      </w:divBdr>
    </w:div>
    <w:div w:id="1565601205">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637488757">
      <w:bodyDiv w:val="1"/>
      <w:marLeft w:val="0"/>
      <w:marRight w:val="0"/>
      <w:marTop w:val="0"/>
      <w:marBottom w:val="0"/>
      <w:divBdr>
        <w:top w:val="none" w:sz="0" w:space="0" w:color="auto"/>
        <w:left w:val="none" w:sz="0" w:space="0" w:color="auto"/>
        <w:bottom w:val="none" w:sz="0" w:space="0" w:color="auto"/>
        <w:right w:val="none" w:sz="0" w:space="0" w:color="auto"/>
      </w:divBdr>
    </w:div>
    <w:div w:id="1691641724">
      <w:bodyDiv w:val="1"/>
      <w:marLeft w:val="0"/>
      <w:marRight w:val="0"/>
      <w:marTop w:val="0"/>
      <w:marBottom w:val="0"/>
      <w:divBdr>
        <w:top w:val="none" w:sz="0" w:space="0" w:color="auto"/>
        <w:left w:val="none" w:sz="0" w:space="0" w:color="auto"/>
        <w:bottom w:val="none" w:sz="0" w:space="0" w:color="auto"/>
        <w:right w:val="none" w:sz="0" w:space="0" w:color="auto"/>
      </w:divBdr>
    </w:div>
    <w:div w:id="1767774010">
      <w:bodyDiv w:val="1"/>
      <w:marLeft w:val="0"/>
      <w:marRight w:val="0"/>
      <w:marTop w:val="0"/>
      <w:marBottom w:val="0"/>
      <w:divBdr>
        <w:top w:val="none" w:sz="0" w:space="0" w:color="auto"/>
        <w:left w:val="none" w:sz="0" w:space="0" w:color="auto"/>
        <w:bottom w:val="none" w:sz="0" w:space="0" w:color="auto"/>
        <w:right w:val="none" w:sz="0" w:space="0" w:color="auto"/>
      </w:divBdr>
    </w:div>
    <w:div w:id="1844776346">
      <w:bodyDiv w:val="1"/>
      <w:marLeft w:val="0"/>
      <w:marRight w:val="0"/>
      <w:marTop w:val="0"/>
      <w:marBottom w:val="0"/>
      <w:divBdr>
        <w:top w:val="none" w:sz="0" w:space="0" w:color="auto"/>
        <w:left w:val="none" w:sz="0" w:space="0" w:color="auto"/>
        <w:bottom w:val="none" w:sz="0" w:space="0" w:color="auto"/>
        <w:right w:val="none" w:sz="0" w:space="0" w:color="auto"/>
      </w:divBdr>
    </w:div>
    <w:div w:id="1870944300">
      <w:bodyDiv w:val="1"/>
      <w:marLeft w:val="0"/>
      <w:marRight w:val="0"/>
      <w:marTop w:val="0"/>
      <w:marBottom w:val="0"/>
      <w:divBdr>
        <w:top w:val="none" w:sz="0" w:space="0" w:color="auto"/>
        <w:left w:val="none" w:sz="0" w:space="0" w:color="auto"/>
        <w:bottom w:val="none" w:sz="0" w:space="0" w:color="auto"/>
        <w:right w:val="none" w:sz="0" w:space="0" w:color="auto"/>
      </w:divBdr>
    </w:div>
    <w:div w:id="1896967330">
      <w:bodyDiv w:val="1"/>
      <w:marLeft w:val="0"/>
      <w:marRight w:val="0"/>
      <w:marTop w:val="0"/>
      <w:marBottom w:val="0"/>
      <w:divBdr>
        <w:top w:val="none" w:sz="0" w:space="0" w:color="auto"/>
        <w:left w:val="none" w:sz="0" w:space="0" w:color="auto"/>
        <w:bottom w:val="none" w:sz="0" w:space="0" w:color="auto"/>
        <w:right w:val="none" w:sz="0" w:space="0" w:color="auto"/>
      </w:divBdr>
      <w:divsChild>
        <w:div w:id="1372460340">
          <w:marLeft w:val="0"/>
          <w:marRight w:val="0"/>
          <w:marTop w:val="0"/>
          <w:marBottom w:val="0"/>
          <w:divBdr>
            <w:top w:val="none" w:sz="0" w:space="0" w:color="auto"/>
            <w:left w:val="none" w:sz="0" w:space="0" w:color="auto"/>
            <w:bottom w:val="none" w:sz="0" w:space="0" w:color="auto"/>
            <w:right w:val="none" w:sz="0" w:space="0" w:color="auto"/>
          </w:divBdr>
          <w:divsChild>
            <w:div w:id="893010197">
              <w:marLeft w:val="0"/>
              <w:marRight w:val="0"/>
              <w:marTop w:val="0"/>
              <w:marBottom w:val="0"/>
              <w:divBdr>
                <w:top w:val="none" w:sz="0" w:space="0" w:color="auto"/>
                <w:left w:val="none" w:sz="0" w:space="0" w:color="auto"/>
                <w:bottom w:val="none" w:sz="0" w:space="0" w:color="auto"/>
                <w:right w:val="none" w:sz="0" w:space="0" w:color="auto"/>
              </w:divBdr>
              <w:divsChild>
                <w:div w:id="937443033">
                  <w:marLeft w:val="0"/>
                  <w:marRight w:val="0"/>
                  <w:marTop w:val="0"/>
                  <w:marBottom w:val="0"/>
                  <w:divBdr>
                    <w:top w:val="none" w:sz="0" w:space="0" w:color="auto"/>
                    <w:left w:val="none" w:sz="0" w:space="0" w:color="auto"/>
                    <w:bottom w:val="none" w:sz="0" w:space="0" w:color="auto"/>
                    <w:right w:val="none" w:sz="0" w:space="0" w:color="auto"/>
                  </w:divBdr>
                  <w:divsChild>
                    <w:div w:id="66783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162536">
      <w:bodyDiv w:val="1"/>
      <w:marLeft w:val="0"/>
      <w:marRight w:val="0"/>
      <w:marTop w:val="0"/>
      <w:marBottom w:val="0"/>
      <w:divBdr>
        <w:top w:val="none" w:sz="0" w:space="0" w:color="auto"/>
        <w:left w:val="none" w:sz="0" w:space="0" w:color="auto"/>
        <w:bottom w:val="none" w:sz="0" w:space="0" w:color="auto"/>
        <w:right w:val="none" w:sz="0" w:space="0" w:color="auto"/>
      </w:divBdr>
    </w:div>
    <w:div w:id="2088112760">
      <w:bodyDiv w:val="1"/>
      <w:marLeft w:val="0"/>
      <w:marRight w:val="0"/>
      <w:marTop w:val="0"/>
      <w:marBottom w:val="0"/>
      <w:divBdr>
        <w:top w:val="none" w:sz="0" w:space="0" w:color="auto"/>
        <w:left w:val="none" w:sz="0" w:space="0" w:color="auto"/>
        <w:bottom w:val="none" w:sz="0" w:space="0" w:color="auto"/>
        <w:right w:val="none" w:sz="0" w:space="0" w:color="auto"/>
      </w:divBdr>
    </w:div>
    <w:div w:id="2105227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CC0CAE-F442-45D7-9C4D-8983DE1F5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2</Pages>
  <Words>634</Words>
  <Characters>5141</Characters>
  <Application>Microsoft Office Word</Application>
  <DocSecurity>0</DocSecurity>
  <Lines>42</Lines>
  <Paragraphs>11</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5764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Nokia-user</cp:lastModifiedBy>
  <cp:revision>10</cp:revision>
  <cp:lastPrinted>1900-01-01T06:00:00Z</cp:lastPrinted>
  <dcterms:created xsi:type="dcterms:W3CDTF">2020-04-05T10:00:00Z</dcterms:created>
  <dcterms:modified xsi:type="dcterms:W3CDTF">2020-04-10T08:24:00Z</dcterms:modified>
</cp:coreProperties>
</file>